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jc w:val="left"/>
        <w:rPr>
          <w:rFonts w:ascii="宋体" w:hAnsi="Courier New" w:eastAsia="宋体" w:cs="Arial"/>
          <w:b/>
          <w:color w:val="000000"/>
          <w:kern w:val="2"/>
          <w:sz w:val="24"/>
          <w:szCs w:val="32"/>
          <w:lang w:val="en-US" w:eastAsia="zh-CN" w:bidi="ar-SA"/>
        </w:rPr>
      </w:pPr>
      <w:r>
        <w:rPr>
          <w:rFonts w:hint="eastAsia" w:ascii="宋体" w:hAnsi="Courier New" w:eastAsia="宋体" w:cs="Arial"/>
          <w:b/>
          <w:color w:val="000000"/>
          <w:kern w:val="2"/>
          <w:sz w:val="24"/>
          <w:szCs w:val="32"/>
          <w:lang w:val="en-US" w:eastAsia="zh-CN" w:bidi="ar-SA"/>
        </w:rPr>
        <w:t>附件3：业务受理单</w:t>
      </w:r>
    </w:p>
    <w:p>
      <w:pPr>
        <w:widowControl w:val="0"/>
        <w:spacing w:line="480" w:lineRule="auto"/>
        <w:jc w:val="center"/>
        <w:rPr>
          <w:rFonts w:ascii="宋体" w:hAnsi="Courier New" w:eastAsia="宋体" w:cs="Arial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Courier New" w:eastAsia="宋体" w:cs="Arial"/>
          <w:b/>
          <w:color w:val="000000"/>
          <w:kern w:val="2"/>
          <w:sz w:val="32"/>
          <w:szCs w:val="32"/>
          <w:lang w:val="en-US" w:eastAsia="zh-CN" w:bidi="ar-SA"/>
        </w:rPr>
        <w:t>（中国移动）网络专线代租及配套支持服务业务受理单</w:t>
      </w:r>
    </w:p>
    <w:tbl>
      <w:tblPr>
        <w:tblStyle w:val="2"/>
        <w:tblW w:w="110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33"/>
        <w:gridCol w:w="544"/>
        <w:gridCol w:w="68"/>
        <w:gridCol w:w="54"/>
        <w:gridCol w:w="260"/>
        <w:gridCol w:w="458"/>
        <w:gridCol w:w="305"/>
        <w:gridCol w:w="255"/>
        <w:gridCol w:w="307"/>
        <w:gridCol w:w="803"/>
        <w:gridCol w:w="220"/>
        <w:gridCol w:w="530"/>
        <w:gridCol w:w="53"/>
        <w:gridCol w:w="109"/>
        <w:gridCol w:w="58"/>
        <w:gridCol w:w="488"/>
        <w:gridCol w:w="109"/>
        <w:gridCol w:w="501"/>
        <w:gridCol w:w="152"/>
        <w:gridCol w:w="871"/>
        <w:gridCol w:w="104"/>
        <w:gridCol w:w="278"/>
        <w:gridCol w:w="60"/>
        <w:gridCol w:w="655"/>
        <w:gridCol w:w="708"/>
        <w:gridCol w:w="144"/>
        <w:gridCol w:w="405"/>
        <w:gridCol w:w="444"/>
        <w:gridCol w:w="10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33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客户（发起方）信息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*公司名称</w:t>
            </w:r>
          </w:p>
        </w:tc>
        <w:tc>
          <w:tcPr>
            <w:tcW w:w="948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*公司地址</w:t>
            </w:r>
          </w:p>
        </w:tc>
        <w:tc>
          <w:tcPr>
            <w:tcW w:w="948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*经办人</w:t>
            </w: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*身份证号码</w:t>
            </w:r>
          </w:p>
        </w:tc>
        <w:tc>
          <w:tcPr>
            <w:tcW w:w="540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*手机号码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*电子邮箱</w:t>
            </w:r>
          </w:p>
        </w:tc>
        <w:tc>
          <w:tcPr>
            <w:tcW w:w="5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33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业务信息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  <w:t xml:space="preserve">*产品类型  </w:t>
            </w:r>
          </w:p>
        </w:tc>
        <w:tc>
          <w:tcPr>
            <w:tcW w:w="936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□数据专线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-电路   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□互联网专线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□其他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  <w:t>*业务办理种类</w:t>
            </w:r>
          </w:p>
        </w:tc>
        <w:tc>
          <w:tcPr>
            <w:tcW w:w="9361" w:type="dxa"/>
            <w:gridSpan w:val="2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□开通业务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</w:rPr>
              <w:t>□变更资费</w:t>
            </w:r>
            <w:r>
              <w:rPr>
                <w:rFonts w:ascii="宋体" w:hAnsi="宋体" w:eastAsia="宋体" w:cs="Times New Roman"/>
                <w:bCs/>
                <w:sz w:val="15"/>
                <w:szCs w:val="15"/>
              </w:rPr>
              <w:t xml:space="preserve">    □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</w:rPr>
              <w:t>变更带宽</w:t>
            </w:r>
            <w:r>
              <w:rPr>
                <w:rFonts w:ascii="宋体" w:hAnsi="宋体" w:eastAsia="宋体" w:cs="Times New Roman"/>
                <w:bCs/>
                <w:sz w:val="15"/>
                <w:szCs w:val="15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</w:rPr>
              <w:t>搬迁业务</w:t>
            </w:r>
            <w:r>
              <w:rPr>
                <w:rFonts w:ascii="宋体" w:hAnsi="宋体" w:eastAsia="宋体" w:cs="Times New Roman"/>
                <w:bCs/>
                <w:sz w:val="15"/>
                <w:szCs w:val="15"/>
              </w:rPr>
              <w:t xml:space="preserve">    □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取消业务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</w:rPr>
              <w:t>□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产品过户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</w:rPr>
              <w:t>□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其他</w:t>
            </w:r>
            <w:r>
              <w:rPr>
                <w:rFonts w:hint="eastAsia" w:ascii="宋体" w:hAnsi="宋体" w:eastAsia="宋体" w:cs="Times New Roman"/>
                <w:sz w:val="15"/>
                <w:szCs w:val="15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b/>
                <w:kern w:val="0"/>
                <w:sz w:val="8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5"/>
                <w:szCs w:val="15"/>
              </w:rPr>
              <w:t>数据专线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5"/>
                <w:szCs w:val="15"/>
              </w:rPr>
              <w:t>|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5"/>
                <w:szCs w:val="15"/>
              </w:rPr>
              <w:t>电路</w:t>
            </w:r>
          </w:p>
        </w:tc>
        <w:tc>
          <w:tcPr>
            <w:tcW w:w="114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  <w:t>*业务范围</w:t>
            </w:r>
          </w:p>
        </w:tc>
        <w:tc>
          <w:tcPr>
            <w:tcW w:w="5915" w:type="dxa"/>
            <w:gridSpan w:val="1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□东莞本地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□省内跨市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□跨省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□跨境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□其他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  </w:t>
            </w:r>
          </w:p>
        </w:tc>
        <w:tc>
          <w:tcPr>
            <w:tcW w:w="156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电路编码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highlight w:val="yellow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  <w:t>*业务用途</w:t>
            </w:r>
          </w:p>
        </w:tc>
        <w:tc>
          <w:tcPr>
            <w:tcW w:w="9415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highlight w:val="yellow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□内部自用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□对外经营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(需提供企业经营资质证明)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□其他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9415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跨境专线使用用途仅供内部办公专用，不得用于连接境内外的数据中心或业务平台开展电信业务经营活动。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*接入点名称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*接入地址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*施工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*电话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*接口速率（Mbps）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*接口类型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*月租费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（元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/月）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一次性费用（元）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A端</w:t>
            </w:r>
          </w:p>
        </w:tc>
        <w:tc>
          <w:tcPr>
            <w:tcW w:w="19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□同发起方公司名称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u w:val="single"/>
              </w:rPr>
              <w:t xml:space="preserve">                             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□同发起方公司地址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                          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Z端</w:t>
            </w:r>
          </w:p>
        </w:tc>
        <w:tc>
          <w:tcPr>
            <w:tcW w:w="19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□同发起方公司名称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u w:val="single"/>
              </w:rPr>
              <w:t xml:space="preserve">                        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□同发起方公司地址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                     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99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99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10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9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□搬迁业务</w:t>
            </w:r>
          </w:p>
        </w:tc>
        <w:tc>
          <w:tcPr>
            <w:tcW w:w="1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A端原设备地址</w:t>
            </w:r>
          </w:p>
        </w:tc>
        <w:tc>
          <w:tcPr>
            <w:tcW w:w="777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9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Z端原设备地址</w:t>
            </w:r>
          </w:p>
        </w:tc>
        <w:tc>
          <w:tcPr>
            <w:tcW w:w="7776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说明</w:t>
            </w:r>
          </w:p>
        </w:tc>
        <w:tc>
          <w:tcPr>
            <w:tcW w:w="10027" w:type="dxa"/>
            <w:gridSpan w:val="2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、接口类型可填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FE、GE光、GE电等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若表格填写空间不足，可通过附表方式提供上述专线信息，附表需加盖甲、乙双方公章。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3、跨境电路月租费不包含客户端楼内线、物业租金、电费等费用，若建设过程中产生，将另行计费。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5"/>
                <w:szCs w:val="15"/>
              </w:rPr>
              <w:t>互联网专线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  <w:t>*承载业务类型</w:t>
            </w:r>
          </w:p>
        </w:tc>
        <w:tc>
          <w:tcPr>
            <w:tcW w:w="9101" w:type="dxa"/>
            <w:gridSpan w:val="2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□GPRS专线接入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□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WLAN设备接入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□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MAS企业信息机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□IOD短信网关接入 □视频监控  □其他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  <w:t>*使用用途</w:t>
            </w:r>
          </w:p>
        </w:tc>
        <w:tc>
          <w:tcPr>
            <w:tcW w:w="9101" w:type="dxa"/>
            <w:gridSpan w:val="2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□</w:t>
            </w:r>
            <w:bookmarkStart w:id="0" w:name="_GoBack"/>
            <w:r>
              <w:rPr>
                <w:rFonts w:hint="eastAsia" w:ascii="宋体" w:hAnsi="宋体" w:eastAsia="宋体" w:cs="宋体"/>
                <w:sz w:val="15"/>
                <w:szCs w:val="15"/>
              </w:rPr>
              <w:t>访问互联网资源</w:t>
            </w:r>
            <w:bookmarkEnd w:id="0"/>
            <w:r>
              <w:rPr>
                <w:rFonts w:hint="eastAsia" w:ascii="宋体" w:hAnsi="宋体" w:eastAsia="宋体" w:cs="宋体"/>
                <w:sz w:val="15"/>
                <w:szCs w:val="15"/>
              </w:rPr>
              <w:t>（不提供经营性及非经营性互联网</w:t>
            </w:r>
            <w:r>
              <w:rPr>
                <w:rFonts w:ascii="宋体" w:hAnsi="宋体" w:eastAsia="宋体" w:cs="宋体"/>
                <w:sz w:val="15"/>
                <w:szCs w:val="15"/>
              </w:rPr>
              <w:t>信息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服务）□从事非经营性互联网</w:t>
            </w:r>
            <w:r>
              <w:rPr>
                <w:rFonts w:ascii="宋体" w:hAnsi="宋体" w:eastAsia="宋体" w:cs="宋体"/>
                <w:sz w:val="15"/>
                <w:szCs w:val="15"/>
              </w:rPr>
              <w:t>信息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服务（架设公司对外宣传网站或公司员工应用网站等) □从事经营性互联网</w:t>
            </w:r>
            <w:r>
              <w:rPr>
                <w:rFonts w:ascii="宋体" w:hAnsi="宋体" w:eastAsia="宋体" w:cs="宋体"/>
                <w:sz w:val="15"/>
                <w:szCs w:val="15"/>
              </w:rPr>
              <w:t>信息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服务□从事IDC业务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从事ISP业务□从事CDN业务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□其他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  <w:t>*业务范围</w:t>
            </w:r>
          </w:p>
        </w:tc>
        <w:tc>
          <w:tcPr>
            <w:tcW w:w="910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□东莞本地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□其他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9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*接入点名称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*接入地址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*施工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*电话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*接口速率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线路月租费（元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/月）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一次性费用（元）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9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□同发起方公司名称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             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□同发起方公司地址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                  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上行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MB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下行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MB</w:t>
            </w:r>
          </w:p>
        </w:tc>
        <w:tc>
          <w:tcPr>
            <w:tcW w:w="19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0560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*需申请的可用固定IP数量：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IPv4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个，收费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元/月；IPv6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个，收费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9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□搬迁业务</w:t>
            </w:r>
          </w:p>
        </w:tc>
        <w:tc>
          <w:tcPr>
            <w:tcW w:w="25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原设备地址</w:t>
            </w:r>
          </w:p>
        </w:tc>
        <w:tc>
          <w:tcPr>
            <w:tcW w:w="606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9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说明</w:t>
            </w:r>
          </w:p>
        </w:tc>
        <w:tc>
          <w:tcPr>
            <w:tcW w:w="8643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若表格填写空间不足，可通过附表方式提供上述互联网接入专线信息，附表需加盖甲、乙双方公章。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33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账务信息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2" w:type="dxa"/>
            <w:gridSpan w:val="5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eastAsia="宋体" w:cs="Times New Roman"/>
                <w:b/>
                <w:kern w:val="0"/>
                <w:sz w:val="15"/>
                <w:szCs w:val="15"/>
              </w:rPr>
              <w:t>费用结算方式</w:t>
            </w:r>
          </w:p>
        </w:tc>
        <w:tc>
          <w:tcPr>
            <w:tcW w:w="15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sym w:font="Wingdings 2" w:char="00A3"/>
            </w:r>
            <w:r>
              <w:rPr>
                <w:rFonts w:ascii="宋体" w:hAnsi="宋体" w:eastAsia="宋体" w:cs="Times New Roman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银行托收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开户银行　</w:t>
            </w:r>
          </w:p>
        </w:tc>
        <w:tc>
          <w:tcPr>
            <w:tcW w:w="62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2" w:type="dxa"/>
            <w:gridSpan w:val="5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 w:val="15"/>
                <w:szCs w:val="15"/>
              </w:rPr>
            </w:pPr>
          </w:p>
        </w:tc>
        <w:tc>
          <w:tcPr>
            <w:tcW w:w="15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账户名称　</w:t>
            </w:r>
          </w:p>
        </w:tc>
        <w:tc>
          <w:tcPr>
            <w:tcW w:w="62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2" w:type="dxa"/>
            <w:gridSpan w:val="5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 w:val="15"/>
                <w:szCs w:val="15"/>
              </w:rPr>
            </w:pPr>
          </w:p>
        </w:tc>
        <w:tc>
          <w:tcPr>
            <w:tcW w:w="15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银行账号　</w:t>
            </w:r>
          </w:p>
        </w:tc>
        <w:tc>
          <w:tcPr>
            <w:tcW w:w="62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72" w:type="dxa"/>
            <w:gridSpan w:val="5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 w:val="15"/>
                <w:szCs w:val="15"/>
              </w:rPr>
            </w:pPr>
          </w:p>
        </w:tc>
        <w:tc>
          <w:tcPr>
            <w:tcW w:w="1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□</w:t>
            </w:r>
            <w:r>
              <w:rPr>
                <w:rFonts w:ascii="宋体" w:hAnsi="宋体" w:eastAsia="宋体" w:cs="Times New Roman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其他</w:t>
            </w:r>
          </w:p>
        </w:tc>
        <w:tc>
          <w:tcPr>
            <w:tcW w:w="777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业务申请单位（甲方）盖公章</w:t>
            </w:r>
          </w:p>
        </w:tc>
        <w:tc>
          <w:tcPr>
            <w:tcW w:w="2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业务受理单位（乙方）</w:t>
            </w:r>
          </w:p>
        </w:tc>
        <w:tc>
          <w:tcPr>
            <w:tcW w:w="38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承诺签约年限</w:t>
            </w:r>
          </w:p>
        </w:tc>
        <w:tc>
          <w:tcPr>
            <w:tcW w:w="247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年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手机</w:t>
            </w:r>
          </w:p>
        </w:tc>
        <w:tc>
          <w:tcPr>
            <w:tcW w:w="38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9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247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业务申请日期</w:t>
            </w:r>
          </w:p>
        </w:tc>
        <w:tc>
          <w:tcPr>
            <w:tcW w:w="38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  <w:t xml:space="preserve">20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本受理单有效期期满后，若双方均无异议且双方合同仍在有效期内，本受理单以一年为周期逐年自动顺延。顺延后本受理单有效期与主合同保持一致。</w:t>
            </w:r>
          </w:p>
        </w:tc>
      </w:tr>
    </w:tbl>
    <w:p>
      <w:pPr>
        <w:widowControl w:val="0"/>
        <w:spacing w:line="360" w:lineRule="auto"/>
        <w:jc w:val="both"/>
        <w:rPr>
          <w:rFonts w:ascii="宋体" w:hAnsi="Courier New" w:eastAsia="宋体" w:cs="Courier New"/>
          <w:color w:val="000000"/>
          <w:kern w:val="2"/>
          <w:sz w:val="21"/>
          <w:szCs w:val="21"/>
          <w:lang w:val="en-US" w:eastAsia="zh-CN" w:bidi="ar-SA"/>
        </w:rPr>
      </w:pPr>
    </w:p>
    <w:sectPr>
      <w:pgSz w:w="11906" w:h="16838"/>
      <w:pgMar w:top="1077" w:right="1077" w:bottom="1077" w:left="1077" w:header="624" w:footer="227" w:gutter="0"/>
      <w:pgNumType w:fmt="numberInDash"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56173"/>
    <w:rsid w:val="3AC56173"/>
    <w:rsid w:val="415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2021-04-07T03:18:00Z</dcterms:created>
  <dc:creator>易子文</dc:creator>
  <cp:lastModifiedBy>lijq</cp:lastModifiedBy>
  <dcterms:modified xsi:type="dcterms:W3CDTF">2021-04-29T00:48:35Z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