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楷体" w:hAnsi="楷体" w:eastAsia="楷体" w:cs="楷体"/>
          <w:b/>
          <w:bCs/>
          <w:i w:val="0"/>
          <w:caps w:val="0"/>
          <w:color w:val="000000"/>
          <w:spacing w:val="0"/>
          <w:sz w:val="30"/>
          <w:szCs w:val="30"/>
          <w:lang w:val="en-US" w:eastAsia="zh-CN"/>
        </w:rPr>
      </w:pPr>
      <w:r>
        <w:rPr>
          <w:rFonts w:hint="eastAsia" w:ascii="楷体" w:hAnsi="楷体" w:eastAsia="楷体" w:cs="楷体"/>
          <w:b/>
          <w:bCs/>
          <w:i w:val="0"/>
          <w:caps w:val="0"/>
          <w:color w:val="000000"/>
          <w:spacing w:val="0"/>
          <w:sz w:val="30"/>
          <w:szCs w:val="30"/>
          <w:lang w:val="en-US" w:eastAsia="zh-CN"/>
        </w:rPr>
        <w:t>深证通web平台</w:t>
      </w:r>
      <w:r>
        <w:rPr>
          <w:rFonts w:hint="eastAsia" w:ascii="楷体" w:hAnsi="楷体" w:eastAsia="楷体" w:cs="楷体"/>
          <w:b/>
          <w:bCs/>
          <w:i w:val="0"/>
          <w:caps w:val="0"/>
          <w:color w:val="000000"/>
          <w:spacing w:val="0"/>
          <w:sz w:val="30"/>
          <w:szCs w:val="30"/>
        </w:rPr>
        <w:t>业务</w:t>
      </w:r>
      <w:r>
        <w:rPr>
          <w:rFonts w:hint="eastAsia" w:ascii="楷体" w:hAnsi="楷体" w:eastAsia="楷体" w:cs="楷体"/>
          <w:b/>
          <w:bCs/>
          <w:i w:val="0"/>
          <w:caps w:val="0"/>
          <w:color w:val="000000"/>
          <w:spacing w:val="0"/>
          <w:sz w:val="30"/>
          <w:szCs w:val="30"/>
          <w:lang w:val="en-US" w:eastAsia="zh-CN"/>
        </w:rPr>
        <w:t>申请</w:t>
      </w:r>
      <w:r>
        <w:rPr>
          <w:rFonts w:hint="eastAsia" w:ascii="楷体" w:hAnsi="楷体" w:eastAsia="楷体" w:cs="楷体"/>
          <w:b/>
          <w:bCs/>
          <w:i w:val="0"/>
          <w:caps w:val="0"/>
          <w:color w:val="000000"/>
          <w:spacing w:val="0"/>
          <w:sz w:val="30"/>
          <w:szCs w:val="30"/>
        </w:rPr>
        <w:t>指南</w:t>
      </w:r>
      <w:r>
        <w:rPr>
          <w:rFonts w:hint="eastAsia" w:ascii="楷体" w:hAnsi="楷体" w:eastAsia="楷体" w:cs="楷体"/>
          <w:b/>
          <w:bCs/>
          <w:i w:val="0"/>
          <w:caps w:val="0"/>
          <w:color w:val="000000"/>
          <w:spacing w:val="0"/>
          <w:sz w:val="30"/>
          <w:szCs w:val="30"/>
          <w:lang w:eastAsia="zh-CN"/>
        </w:rPr>
        <w:t>（</w:t>
      </w:r>
      <w:r>
        <w:rPr>
          <w:rFonts w:hint="eastAsia" w:ascii="楷体" w:hAnsi="楷体" w:eastAsia="楷体" w:cs="楷体"/>
          <w:b/>
          <w:bCs/>
          <w:i w:val="0"/>
          <w:caps w:val="0"/>
          <w:color w:val="000000"/>
          <w:spacing w:val="0"/>
          <w:sz w:val="30"/>
          <w:szCs w:val="30"/>
          <w:lang w:val="en-US" w:eastAsia="zh-CN"/>
        </w:rPr>
        <w:t>私募机构版）</w:t>
      </w:r>
    </w:p>
    <w:p>
      <w:pPr>
        <w:keepNext w:val="0"/>
        <w:keepLines w:val="0"/>
        <w:widowControl/>
        <w:suppressLineNumbers w:val="0"/>
        <w:jc w:val="center"/>
        <w:rPr>
          <w:rFonts w:hint="eastAsia" w:ascii="楷体" w:hAnsi="楷体" w:eastAsia="楷体" w:cs="楷体"/>
          <w:b/>
          <w:bCs/>
          <w:i w:val="0"/>
          <w:caps w:val="0"/>
          <w:color w:val="000000"/>
          <w:spacing w:val="0"/>
          <w:sz w:val="30"/>
          <w:szCs w:val="30"/>
          <w:lang w:val="en-US" w:eastAsia="zh-CN"/>
        </w:rPr>
      </w:pPr>
    </w:p>
    <w:sdt>
      <w:sdtPr>
        <w:rPr>
          <w:rFonts w:ascii="宋体" w:hAnsi="宋体" w:eastAsia="宋体" w:cstheme="minorBidi"/>
          <w:kern w:val="2"/>
          <w:sz w:val="21"/>
          <w:szCs w:val="24"/>
          <w:lang w:val="en-US" w:eastAsia="zh-CN" w:bidi="ar-SA"/>
        </w:rPr>
        <w:id w:val="147467441"/>
        <w15:color w:val="DBDBDB"/>
        <w:docPartObj>
          <w:docPartGallery w:val="Table of Contents"/>
          <w:docPartUnique/>
        </w:docPartObj>
      </w:sdtPr>
      <w:sdtEndPr>
        <w:rPr>
          <w:rFonts w:hint="default" w:asciiTheme="minorEastAsia" w:hAnsiTheme="minorEastAsia" w:eastAsiaTheme="minorEastAsia" w:cstheme="minorEastAsia"/>
          <w:b/>
          <w:bCs/>
          <w:i w:val="0"/>
          <w:caps w:val="0"/>
          <w:color w:val="000000"/>
          <w:spacing w:val="0"/>
          <w:kern w:val="2"/>
          <w:sz w:val="21"/>
          <w:szCs w:val="30"/>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楷体" w:hAnsi="楷体" w:eastAsia="楷体" w:cs="楷体"/>
              <w:sz w:val="21"/>
            </w:rPr>
            <w:t>目录</w:t>
          </w:r>
        </w:p>
        <w:p>
          <w:pPr>
            <w:pStyle w:val="7"/>
            <w:tabs>
              <w:tab w:val="right" w:leader="dot" w:pos="8306"/>
            </w:tabs>
          </w:pPr>
          <w:r>
            <w:rPr>
              <w:rFonts w:hint="default" w:asciiTheme="minorEastAsia" w:hAnsiTheme="minorEastAsia" w:cstheme="minorEastAsia"/>
              <w:b/>
              <w:bCs/>
              <w:i w:val="0"/>
              <w:caps w:val="0"/>
              <w:color w:val="000000"/>
              <w:spacing w:val="0"/>
              <w:sz w:val="30"/>
              <w:szCs w:val="30"/>
              <w:lang w:val="en-US" w:eastAsia="zh-CN"/>
            </w:rPr>
            <w:fldChar w:fldCharType="begin"/>
          </w:r>
          <w:r>
            <w:rPr>
              <w:rFonts w:hint="default" w:asciiTheme="minorEastAsia" w:hAnsiTheme="minorEastAsia" w:cstheme="minorEastAsia"/>
              <w:b/>
              <w:bCs/>
              <w:i w:val="0"/>
              <w:caps w:val="0"/>
              <w:color w:val="000000"/>
              <w:spacing w:val="0"/>
              <w:sz w:val="30"/>
              <w:szCs w:val="30"/>
              <w:lang w:val="en-US" w:eastAsia="zh-CN"/>
            </w:rPr>
            <w:instrText xml:space="preserve">TOC \o "1-2" \h \u </w:instrText>
          </w:r>
          <w:r>
            <w:rPr>
              <w:rFonts w:hint="default" w:asciiTheme="minorEastAsia" w:hAnsiTheme="minorEastAsia" w:cstheme="minorEastAsia"/>
              <w:b/>
              <w:bCs/>
              <w:i w:val="0"/>
              <w:caps w:val="0"/>
              <w:color w:val="000000"/>
              <w:spacing w:val="0"/>
              <w:sz w:val="30"/>
              <w:szCs w:val="30"/>
              <w:lang w:val="en-US" w:eastAsia="zh-CN"/>
            </w:rPr>
            <w:fldChar w:fldCharType="separate"/>
          </w: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_Toc19221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18"/>
              <w:lang w:val="en-US" w:eastAsia="zh-CN"/>
            </w:rPr>
            <w:t>一、 金融数据交换平台（FDEP）介绍</w:t>
          </w:r>
          <w:r>
            <w:tab/>
          </w:r>
          <w:r>
            <w:fldChar w:fldCharType="begin"/>
          </w:r>
          <w:r>
            <w:instrText xml:space="preserve"> PAGEREF _Toc19221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_Toc21012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44"/>
              <w:szCs w:val="18"/>
              <w:lang w:val="en-US" w:eastAsia="zh-CN" w:bidi="ar-SA"/>
            </w:rPr>
            <w:t>二、 私募服务一体化解决方案介绍</w:t>
          </w:r>
          <w:r>
            <w:tab/>
          </w:r>
          <w:r>
            <w:fldChar w:fldCharType="begin"/>
          </w:r>
          <w:r>
            <w:instrText xml:space="preserve"> PAGEREF _Toc21012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_Toc8085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2.1产品功能介绍</w:t>
          </w:r>
          <w:r>
            <w:tab/>
          </w:r>
          <w:r>
            <w:fldChar w:fldCharType="begin"/>
          </w:r>
          <w:r>
            <w:instrText xml:space="preserve"> PAGEREF _Toc8085 </w:instrText>
          </w:r>
          <w:r>
            <w:fldChar w:fldCharType="separate"/>
          </w:r>
          <w:r>
            <w:t>2</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_Toc14018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2.2业务场景介绍</w:t>
          </w:r>
          <w:r>
            <w:tab/>
          </w:r>
          <w:r>
            <w:fldChar w:fldCharType="begin"/>
          </w:r>
          <w:r>
            <w:instrText xml:space="preserve"> PAGEREF _Toc14018 </w:instrText>
          </w:r>
          <w:r>
            <w:fldChar w:fldCharType="separate"/>
          </w:r>
          <w:r>
            <w:t>3</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_Toc15516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18"/>
              <w:lang w:val="en-US" w:eastAsia="zh-CN"/>
            </w:rPr>
            <w:t>三、 业务申请及客户端流程</w:t>
          </w:r>
          <w:r>
            <w:tab/>
          </w:r>
          <w:r>
            <w:fldChar w:fldCharType="begin"/>
          </w:r>
          <w:r>
            <w:instrText xml:space="preserve"> PAGEREF _Toc15516 </w:instrText>
          </w:r>
          <w:r>
            <w:fldChar w:fldCharType="separate"/>
          </w:r>
          <w:r>
            <w:t>4</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_Toc10652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szCs w:val="21"/>
              <w:lang w:val="en-US" w:eastAsia="zh-CN"/>
            </w:rPr>
            <w:t>3.1 业务申请流程</w:t>
          </w:r>
          <w:r>
            <w:tab/>
          </w:r>
          <w:r>
            <w:fldChar w:fldCharType="begin"/>
          </w:r>
          <w:r>
            <w:instrText xml:space="preserve"> PAGEREF _Toc10652 </w:instrText>
          </w:r>
          <w:r>
            <w:fldChar w:fldCharType="separate"/>
          </w:r>
          <w:r>
            <w:t>4</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_Toc1250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2"/>
              <w:szCs w:val="21"/>
              <w:lang w:val="en-US" w:eastAsia="zh-CN" w:bidi="ar-SA"/>
            </w:rPr>
            <w:t>3.2 客户端安装流程</w:t>
          </w:r>
          <w:r>
            <w:tab/>
          </w:r>
          <w:r>
            <w:fldChar w:fldCharType="begin"/>
          </w:r>
          <w:r>
            <w:instrText xml:space="preserve"> PAGEREF _Toc1250 </w:instrText>
          </w:r>
          <w:r>
            <w:fldChar w:fldCharType="separate"/>
          </w:r>
          <w:r>
            <w:t>6</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7"/>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_Toc29300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44"/>
              <w:szCs w:val="18"/>
              <w:lang w:val="en-US" w:eastAsia="zh-CN" w:bidi="ar-SA"/>
            </w:rPr>
            <w:t>四、 业务联系方式</w:t>
          </w:r>
          <w:r>
            <w:tab/>
          </w:r>
          <w:r>
            <w:fldChar w:fldCharType="begin"/>
          </w:r>
          <w:r>
            <w:instrText xml:space="preserve"> PAGEREF _Toc29300 </w:instrText>
          </w:r>
          <w:r>
            <w:fldChar w:fldCharType="separate"/>
          </w:r>
          <w:r>
            <w:t>7</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_Toc14590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2"/>
              <w:szCs w:val="21"/>
              <w:lang w:val="en-US" w:eastAsia="zh-CN" w:bidi="ar-SA"/>
            </w:rPr>
            <w:t>4.1 fdep平台联系方式</w:t>
          </w:r>
          <w:r>
            <w:tab/>
          </w:r>
          <w:r>
            <w:fldChar w:fldCharType="begin"/>
          </w:r>
          <w:r>
            <w:instrText xml:space="preserve"> PAGEREF _Toc14590 </w:instrText>
          </w:r>
          <w:r>
            <w:fldChar w:fldCharType="separate"/>
          </w:r>
          <w:r>
            <w:t>7</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pStyle w:val="8"/>
            <w:tabs>
              <w:tab w:val="right" w:leader="dot" w:pos="8306"/>
            </w:tabs>
          </w:pPr>
          <w:r>
            <w:rPr>
              <w:rFonts w:hint="default" w:asciiTheme="minorEastAsia" w:hAnsiTheme="minorEastAsia" w:cstheme="minorEastAsia"/>
              <w:bCs/>
              <w:i w:val="0"/>
              <w:caps w:val="0"/>
              <w:color w:val="000000"/>
              <w:spacing w:val="0"/>
              <w:szCs w:val="30"/>
              <w:lang w:val="en-US" w:eastAsia="zh-CN"/>
            </w:rPr>
            <w:fldChar w:fldCharType="begin"/>
          </w:r>
          <w:r>
            <w:rPr>
              <w:rFonts w:hint="default" w:asciiTheme="minorEastAsia" w:hAnsiTheme="minorEastAsia" w:cstheme="minorEastAsia"/>
              <w:bCs/>
              <w:i w:val="0"/>
              <w:caps w:val="0"/>
              <w:spacing w:val="0"/>
              <w:szCs w:val="30"/>
              <w:lang w:val="en-US" w:eastAsia="zh-CN"/>
            </w:rPr>
            <w:instrText xml:space="preserve"> HYPERLINK \l _Toc20298 </w:instrText>
          </w:r>
          <w:r>
            <w:rPr>
              <w:rFonts w:hint="default" w:asciiTheme="minorEastAsia" w:hAnsiTheme="minorEastAsia" w:cstheme="minorEastAsia"/>
              <w:bCs/>
              <w:i w:val="0"/>
              <w:caps w:val="0"/>
              <w:spacing w:val="0"/>
              <w:szCs w:val="30"/>
              <w:lang w:val="en-US" w:eastAsia="zh-CN"/>
            </w:rPr>
            <w:fldChar w:fldCharType="separate"/>
          </w:r>
          <w:r>
            <w:rPr>
              <w:rFonts w:hint="eastAsia" w:ascii="楷体" w:hAnsi="楷体" w:eastAsia="楷体" w:cs="楷体"/>
              <w:kern w:val="2"/>
              <w:szCs w:val="21"/>
              <w:lang w:val="en-US" w:eastAsia="zh-CN" w:bidi="ar-SA"/>
            </w:rPr>
            <w:t>4.2 Web客户端</w:t>
          </w:r>
          <w:r>
            <w:tab/>
          </w:r>
          <w:r>
            <w:fldChar w:fldCharType="begin"/>
          </w:r>
          <w:r>
            <w:instrText xml:space="preserve"> PAGEREF _Toc20298 </w:instrText>
          </w:r>
          <w:r>
            <w:fldChar w:fldCharType="separate"/>
          </w:r>
          <w:r>
            <w:t>8</w:t>
          </w:r>
          <w:r>
            <w:fldChar w:fldCharType="end"/>
          </w:r>
          <w:r>
            <w:rPr>
              <w:rFonts w:hint="default" w:asciiTheme="minorEastAsia" w:hAnsiTheme="minorEastAsia" w:cstheme="minorEastAsia"/>
              <w:bCs/>
              <w:i w:val="0"/>
              <w:caps w:val="0"/>
              <w:color w:val="000000"/>
              <w:spacing w:val="0"/>
              <w:szCs w:val="30"/>
              <w:lang w:val="en-US" w:eastAsia="zh-CN"/>
            </w:rPr>
            <w:fldChar w:fldCharType="end"/>
          </w: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r>
            <w:rPr>
              <w:rFonts w:hint="default" w:asciiTheme="minorEastAsia" w:hAnsiTheme="minorEastAsia" w:cstheme="minorEastAsia"/>
              <w:bCs/>
              <w:i w:val="0"/>
              <w:caps w:val="0"/>
              <w:color w:val="000000"/>
              <w:spacing w:val="0"/>
              <w:szCs w:val="30"/>
              <w:lang w:val="en-US" w:eastAsia="zh-CN"/>
            </w:rPr>
            <w:fldChar w:fldCharType="end"/>
          </w:r>
        </w:p>
      </w:sdtContent>
    </w:sdt>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center"/>
        <w:rPr>
          <w:rFonts w:hint="default" w:asciiTheme="minorEastAsia" w:hAnsiTheme="minorEastAsia" w:cstheme="minorEastAsia"/>
          <w:b/>
          <w:bCs/>
          <w:i w:val="0"/>
          <w:caps w:val="0"/>
          <w:color w:val="000000"/>
          <w:spacing w:val="0"/>
          <w:sz w:val="30"/>
          <w:szCs w:val="30"/>
          <w:lang w:val="en-US" w:eastAsia="zh-CN"/>
        </w:rPr>
      </w:pPr>
    </w:p>
    <w:p>
      <w:pPr>
        <w:keepNext w:val="0"/>
        <w:keepLines w:val="0"/>
        <w:widowControl/>
        <w:suppressLineNumbers w:val="0"/>
        <w:jc w:val="both"/>
        <w:rPr>
          <w:rFonts w:hint="default" w:asciiTheme="minorEastAsia" w:hAnsiTheme="minorEastAsia" w:cstheme="minorEastAsia"/>
          <w:b/>
          <w:bCs/>
          <w:i w:val="0"/>
          <w:caps w:val="0"/>
          <w:color w:val="000000"/>
          <w:spacing w:val="0"/>
          <w:sz w:val="30"/>
          <w:szCs w:val="30"/>
          <w:lang w:val="en-US" w:eastAsia="zh-CN"/>
        </w:rPr>
      </w:pPr>
    </w:p>
    <w:p>
      <w:pPr>
        <w:pStyle w:val="2"/>
        <w:numPr>
          <w:ilvl w:val="0"/>
          <w:numId w:val="1"/>
        </w:numPr>
        <w:bidi w:val="0"/>
        <w:rPr>
          <w:rFonts w:hint="eastAsia" w:ascii="楷体" w:hAnsi="楷体" w:eastAsia="楷体" w:cs="楷体"/>
          <w:sz w:val="28"/>
          <w:szCs w:val="18"/>
          <w:lang w:val="en-US" w:eastAsia="zh-CN"/>
        </w:rPr>
      </w:pPr>
      <w:bookmarkStart w:id="0" w:name="_Toc19221"/>
      <w:r>
        <w:rPr>
          <w:rFonts w:hint="eastAsia" w:ascii="楷体" w:hAnsi="楷体" w:eastAsia="楷体" w:cs="楷体"/>
          <w:sz w:val="28"/>
          <w:szCs w:val="18"/>
          <w:lang w:val="en-US" w:eastAsia="zh-CN"/>
        </w:rPr>
        <w:t>金融数据交换平台（FDEP）介绍</w:t>
      </w:r>
      <w:bookmarkEnd w:id="0"/>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深圳证券通信有限公司是深圳证券交易所控股下属企业，是深圳证券市场唯一的专业通信保障机构，承担深圳证券市场的 证券委托申报、实时行情、成交结果及清算数据等信息传输处理任务，建有全国性的金融数据交换平台(FDEP)和证券业通信数据中心，为境内外千家总部级金融机构提供安全、公平、高效 的数据通信、系统托管等IT服务。 </w:t>
      </w:r>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FDEP为覆盖全国的通信网络及大容量容错分布式软件交换平台，为中国资本市场参与者提供安全、高效的数据交换的一站式解决方案。平台在证券及公募基金等金融领域有着广泛应用,交换数据及市场规模为行业第一。其中在公募基金领域,平台承载着公募基金市场全量的基金代销数据传输的使命,在资产托管业务中，电子划款与实时对账功能对接了所有托管银行，在公募基金、信托、保险用户中有着广泛、成熟的应用。此外在私募机构的交易流水、申赎流水数据传输中也有着大量成熟的案例。 </w:t>
      </w:r>
    </w:p>
    <w:p>
      <w:pPr>
        <w:keepNext w:val="0"/>
        <w:keepLines w:val="0"/>
        <w:widowControl/>
        <w:suppressLineNumbers w:val="0"/>
        <w:ind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 xml:space="preserve">FDEP一直致力于推动行业it建设,助力行业发展，希望通过FDEP在私募场景的应用，为用户提供优质服务。 </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p>
    <w:p>
      <w:pPr>
        <w:pStyle w:val="14"/>
        <w:keepNext w:val="0"/>
        <w:keepLines w:val="0"/>
        <w:pageBreakBefore w:val="0"/>
        <w:numPr>
          <w:ilvl w:val="0"/>
          <w:numId w:val="1"/>
        </w:numPr>
        <w:kinsoku/>
        <w:wordWrap/>
        <w:overflowPunct/>
        <w:topLinePunct w:val="0"/>
        <w:autoSpaceDE/>
        <w:autoSpaceDN/>
        <w:bidi w:val="0"/>
        <w:adjustRightInd/>
        <w:snapToGrid/>
        <w:spacing w:line="240" w:lineRule="auto"/>
        <w:ind w:left="0" w:leftChars="0" w:firstLine="0" w:firstLineChars="0"/>
        <w:textAlignment w:val="auto"/>
        <w:outlineLvl w:val="0"/>
        <w:rPr>
          <w:rFonts w:hint="eastAsia" w:ascii="楷体" w:hAnsi="楷体" w:eastAsia="楷体" w:cs="楷体"/>
          <w:b/>
          <w:kern w:val="44"/>
          <w:sz w:val="28"/>
          <w:szCs w:val="18"/>
          <w:lang w:val="en-US" w:eastAsia="zh-CN" w:bidi="ar-SA"/>
        </w:rPr>
      </w:pPr>
      <w:bookmarkStart w:id="1" w:name="_Toc21012"/>
      <w:r>
        <w:rPr>
          <w:rFonts w:hint="eastAsia" w:ascii="楷体" w:hAnsi="楷体" w:eastAsia="楷体" w:cs="楷体"/>
          <w:b/>
          <w:kern w:val="44"/>
          <w:sz w:val="28"/>
          <w:szCs w:val="18"/>
          <w:lang w:val="en-US" w:eastAsia="zh-CN" w:bidi="ar-SA"/>
        </w:rPr>
        <w:t>私募服务一体化解决方案介绍</w:t>
      </w:r>
      <w:bookmarkEnd w:id="1"/>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针对私募行业特性及行业业内数据传输需求，深证通在原有fdep平台上推出轻享版web服务平台，以满足私募机构与托管人/交易经纪商等服务商间之间每日数据传输需求。</w:t>
      </w:r>
    </w:p>
    <w:p>
      <w:pPr>
        <w:pStyle w:val="3"/>
        <w:bidi w:val="0"/>
        <w:rPr>
          <w:rFonts w:hint="eastAsia" w:ascii="楷体" w:hAnsi="楷体" w:eastAsia="楷体" w:cs="楷体"/>
          <w:sz w:val="24"/>
          <w:szCs w:val="21"/>
          <w:lang w:val="en-US" w:eastAsia="zh-CN"/>
        </w:rPr>
      </w:pPr>
      <w:bookmarkStart w:id="2" w:name="_Toc8085"/>
      <w:r>
        <w:rPr>
          <w:rFonts w:hint="eastAsia" w:ascii="楷体" w:hAnsi="楷体" w:eastAsia="楷体" w:cs="楷体"/>
          <w:sz w:val="24"/>
          <w:szCs w:val="21"/>
          <w:lang w:val="en-US" w:eastAsia="zh-CN"/>
        </w:rPr>
        <w:t>2.1产品功能介绍</w:t>
      </w:r>
      <w:bookmarkEnd w:id="2"/>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私募管理人需要定时与交易经纪商、托管服务商、代销机构等对手方传输交易数据（对账单、交易指令、估值表等），在现有的业务模式中，需要登录到不同业务对手方的指定网站收发数据，大量耗费人力。现可通过FDEP平台，实现与托管人、经纪商间对账单、估值表的一站式收发；同时可通过FDEP平台将交易指令下达给交易经纪商；划款指令发送给托管人等。</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73675" cy="2413000"/>
            <wp:effectExtent l="0" t="0" r="14605" b="10160"/>
            <wp:docPr id="5" name="图片 5" descr="1583284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583284524"/>
                    <pic:cNvPicPr>
                      <a:picLocks noChangeAspect="1"/>
                    </pic:cNvPicPr>
                  </pic:nvPicPr>
                  <pic:blipFill>
                    <a:blip r:embed="rId4"/>
                    <a:stretch>
                      <a:fillRect/>
                    </a:stretch>
                  </pic:blipFill>
                  <pic:spPr>
                    <a:xfrm>
                      <a:off x="0" y="0"/>
                      <a:ext cx="5273675" cy="241300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0"/>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（私募服务一体化解决方案示意图）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200"/>
        <w:textAlignment w:val="auto"/>
        <w:rPr>
          <w:rFonts w:hint="eastAsia" w:ascii="楷体" w:hAnsi="楷体" w:eastAsia="楷体" w:cs="楷体"/>
          <w:i w:val="0"/>
          <w:caps w:val="0"/>
          <w:color w:val="494949"/>
          <w:spacing w:val="0"/>
          <w:kern w:val="2"/>
          <w:sz w:val="22"/>
          <w:szCs w:val="22"/>
          <w:lang w:val="en-US" w:eastAsia="zh-CN" w:bidi="ar-SA"/>
        </w:rPr>
      </w:pPr>
    </w:p>
    <w:p>
      <w:pPr>
        <w:pStyle w:val="3"/>
        <w:bidi w:val="0"/>
        <w:rPr>
          <w:rFonts w:hint="eastAsia" w:ascii="楷体" w:hAnsi="楷体" w:eastAsia="楷体" w:cs="楷体"/>
          <w:b/>
          <w:sz w:val="24"/>
          <w:szCs w:val="21"/>
          <w:lang w:val="en-US" w:eastAsia="zh-CN"/>
        </w:rPr>
      </w:pPr>
      <w:bookmarkStart w:id="3" w:name="_Toc14018"/>
      <w:r>
        <w:rPr>
          <w:rFonts w:hint="eastAsia" w:ascii="楷体" w:hAnsi="楷体" w:eastAsia="楷体" w:cs="楷体"/>
          <w:b/>
          <w:sz w:val="24"/>
          <w:szCs w:val="21"/>
          <w:lang w:val="en-US" w:eastAsia="zh-CN"/>
        </w:rPr>
        <w:t>2.2业务场景介绍</w:t>
      </w:r>
      <w:bookmarkEnd w:id="3"/>
    </w:p>
    <w:p>
      <w:pPr>
        <w:pStyle w:val="14"/>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对账单收发</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交易经纪商通过深证通web文件传输系统将私募业务日终对账文件分别传输至私募管理人与托管服务商，私募管理人与托管服务商通过软件释放对账单内容，将其转达为自身业务系统可识别的文件格式。</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71770" cy="1911350"/>
            <wp:effectExtent l="0" t="0" r="1270" b="8890"/>
            <wp:docPr id="6" name="图片 6" descr="15832853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583285345(1)"/>
                    <pic:cNvPicPr>
                      <a:picLocks noChangeAspect="1"/>
                    </pic:cNvPicPr>
                  </pic:nvPicPr>
                  <pic:blipFill>
                    <a:blip r:embed="rId5"/>
                    <a:stretch>
                      <a:fillRect/>
                    </a:stretch>
                  </pic:blipFill>
                  <pic:spPr>
                    <a:xfrm>
                      <a:off x="0" y="0"/>
                      <a:ext cx="5271770" cy="191135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（对账单收发场景示意图）</w:t>
      </w:r>
    </w:p>
    <w:p>
      <w:pPr>
        <w:pStyle w:val="14"/>
        <w:keepNext w:val="0"/>
        <w:keepLines w:val="0"/>
        <w:pageBreakBefore w:val="0"/>
        <w:numPr>
          <w:ilvl w:val="0"/>
          <w:numId w:val="2"/>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估值表收发与格式转换</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firstLine="420" w:firstLineChars="0"/>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私募外包服务商可通过深证通web版文件传输系统向私募管理人和托管人发送估值表，托管人进行对账并返回核对信息。</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drawing>
          <wp:inline distT="0" distB="0" distL="114300" distR="114300">
            <wp:extent cx="5268595" cy="1653540"/>
            <wp:effectExtent l="0" t="0" r="4445" b="7620"/>
            <wp:docPr id="7" name="图片 7" descr="158328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583285503"/>
                    <pic:cNvPicPr>
                      <a:picLocks noChangeAspect="1"/>
                    </pic:cNvPicPr>
                  </pic:nvPicPr>
                  <pic:blipFill>
                    <a:blip r:embed="rId6"/>
                    <a:stretch>
                      <a:fillRect/>
                    </a:stretch>
                  </pic:blipFill>
                  <pic:spPr>
                    <a:xfrm>
                      <a:off x="0" y="0"/>
                      <a:ext cx="5268595" cy="165354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（估值表收发场景示意图）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b w:val="0"/>
          <w:bCs w:val="0"/>
          <w:i w:val="0"/>
          <w:caps w:val="0"/>
          <w:color w:val="494949"/>
          <w:spacing w:val="0"/>
          <w:kern w:val="2"/>
          <w:sz w:val="22"/>
          <w:szCs w:val="22"/>
          <w:lang w:val="en-US" w:eastAsia="zh-CN" w:bidi="ar-SA"/>
        </w:rPr>
      </w:pPr>
    </w:p>
    <w:p>
      <w:pPr>
        <w:pStyle w:val="14"/>
        <w:keepNext w:val="0"/>
        <w:keepLines w:val="0"/>
        <w:pageBreakBefore w:val="0"/>
        <w:numPr>
          <w:ilvl w:val="0"/>
          <w:numId w:val="2"/>
        </w:numPr>
        <w:kinsoku/>
        <w:wordWrap/>
        <w:overflowPunct/>
        <w:topLinePunct w:val="0"/>
        <w:autoSpaceDE/>
        <w:autoSpaceDN/>
        <w:bidi w:val="0"/>
        <w:adjustRightInd/>
        <w:snapToGrid/>
        <w:spacing w:line="240" w:lineRule="auto"/>
        <w:ind w:left="0" w:leftChars="0" w:firstLine="440" w:firstLineChars="200"/>
        <w:textAlignment w:val="auto"/>
        <w:rPr>
          <w:rFonts w:hint="eastAsia" w:ascii="楷体" w:hAnsi="楷体" w:eastAsia="楷体" w:cs="楷体"/>
          <w:b w:val="0"/>
          <w:bCs w:val="0"/>
          <w:i w:val="0"/>
          <w:caps w:val="0"/>
          <w:color w:val="494949"/>
          <w:spacing w:val="0"/>
          <w:kern w:val="2"/>
          <w:sz w:val="22"/>
          <w:szCs w:val="22"/>
          <w:lang w:val="en-US" w:eastAsia="zh-CN" w:bidi="ar-SA"/>
        </w:rPr>
      </w:pPr>
      <w:r>
        <w:rPr>
          <w:rFonts w:hint="eastAsia" w:ascii="楷体" w:hAnsi="楷体" w:eastAsia="楷体" w:cs="楷体"/>
          <w:b w:val="0"/>
          <w:bCs w:val="0"/>
          <w:i w:val="0"/>
          <w:caps w:val="0"/>
          <w:color w:val="494949"/>
          <w:spacing w:val="0"/>
          <w:kern w:val="2"/>
          <w:sz w:val="22"/>
          <w:szCs w:val="22"/>
          <w:lang w:val="en-US" w:eastAsia="zh-CN" w:bidi="ar-SA"/>
        </w:rPr>
        <w:t>划款指令传输</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420" w:leftChars="200" w:firstLine="420" w:firstLineChars="0"/>
        <w:textAlignment w:val="auto"/>
        <w:rPr>
          <w:rFonts w:hint="eastAsia" w:ascii="楷体" w:hAnsi="楷体" w:eastAsia="楷体" w:cs="楷体"/>
          <w:b w:val="0"/>
          <w:bCs w:val="0"/>
          <w:i w:val="0"/>
          <w:caps w:val="0"/>
          <w:color w:val="494949"/>
          <w:spacing w:val="0"/>
          <w:kern w:val="2"/>
          <w:sz w:val="22"/>
          <w:szCs w:val="22"/>
          <w:lang w:val="en-US" w:eastAsia="zh-CN" w:bidi="ar-SA"/>
        </w:rPr>
      </w:pPr>
      <w:r>
        <w:rPr>
          <w:rFonts w:hint="eastAsia" w:ascii="楷体" w:hAnsi="楷体" w:eastAsia="楷体" w:cs="楷体"/>
          <w:b w:val="0"/>
          <w:bCs w:val="0"/>
          <w:i w:val="0"/>
          <w:caps w:val="0"/>
          <w:color w:val="494949"/>
          <w:spacing w:val="0"/>
          <w:kern w:val="2"/>
          <w:sz w:val="22"/>
          <w:szCs w:val="22"/>
          <w:lang w:val="en-US" w:eastAsia="zh-CN" w:bidi="ar-SA"/>
        </w:rPr>
        <w:t>私募管理人通过FDEP平台传输查询、资产划付指令给托管服务商，划款指令实时操作，实时结果反馈。</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ind w:leftChars="200"/>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drawing>
          <wp:inline distT="0" distB="0" distL="114300" distR="114300">
            <wp:extent cx="5271770" cy="1788160"/>
            <wp:effectExtent l="0" t="0" r="1270" b="10160"/>
            <wp:docPr id="8" name="图片 8" descr="1583285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83285792(1)"/>
                    <pic:cNvPicPr>
                      <a:picLocks noChangeAspect="1"/>
                    </pic:cNvPicPr>
                  </pic:nvPicPr>
                  <pic:blipFill>
                    <a:blip r:embed="rId7"/>
                    <a:stretch>
                      <a:fillRect/>
                    </a:stretch>
                  </pic:blipFill>
                  <pic:spPr>
                    <a:xfrm>
                      <a:off x="0" y="0"/>
                      <a:ext cx="5271770" cy="1788160"/>
                    </a:xfrm>
                    <a:prstGeom prst="rect">
                      <a:avLst/>
                    </a:prstGeom>
                  </pic:spPr>
                </pic:pic>
              </a:graphicData>
            </a:graphic>
          </wp:inline>
        </w:drawing>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（划款指令传输场景示意图）</w:t>
      </w:r>
    </w:p>
    <w:p>
      <w:pPr>
        <w:pStyle w:val="14"/>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i w:val="0"/>
          <w:caps w:val="0"/>
          <w:color w:val="494949"/>
          <w:spacing w:val="0"/>
          <w:kern w:val="2"/>
          <w:sz w:val="22"/>
          <w:szCs w:val="22"/>
          <w:lang w:val="en-US" w:eastAsia="zh-CN" w:bidi="ar-SA"/>
        </w:rPr>
      </w:pPr>
    </w:p>
    <w:p>
      <w:pPr>
        <w:pStyle w:val="14"/>
        <w:keepNext w:val="0"/>
        <w:keepLines w:val="0"/>
        <w:pageBreakBefore w:val="0"/>
        <w:numPr>
          <w:ilvl w:val="0"/>
          <w:numId w:val="0"/>
        </w:numPr>
        <w:kinsoku/>
        <w:wordWrap/>
        <w:overflowPunct/>
        <w:topLinePunct w:val="0"/>
        <w:autoSpaceDE/>
        <w:autoSpaceDN/>
        <w:bidi w:val="0"/>
        <w:adjustRightInd/>
        <w:snapToGrid/>
        <w:spacing w:line="240" w:lineRule="auto"/>
        <w:textAlignment w:val="auto"/>
        <w:rPr>
          <w:rFonts w:hint="eastAsia" w:ascii="楷体" w:hAnsi="楷体" w:eastAsia="楷体" w:cs="楷体"/>
          <w:i w:val="0"/>
          <w:caps w:val="0"/>
          <w:color w:val="494949"/>
          <w:spacing w:val="0"/>
          <w:kern w:val="2"/>
          <w:sz w:val="22"/>
          <w:szCs w:val="22"/>
          <w:lang w:val="en-US" w:eastAsia="zh-CN" w:bidi="ar-SA"/>
        </w:rPr>
      </w:pPr>
    </w:p>
    <w:p>
      <w:pPr>
        <w:pStyle w:val="2"/>
        <w:numPr>
          <w:ilvl w:val="0"/>
          <w:numId w:val="1"/>
        </w:numPr>
        <w:bidi w:val="0"/>
        <w:rPr>
          <w:rFonts w:hint="eastAsia" w:ascii="楷体" w:hAnsi="楷体" w:eastAsia="楷体" w:cs="楷体"/>
          <w:sz w:val="28"/>
          <w:szCs w:val="18"/>
          <w:lang w:val="en-US" w:eastAsia="zh-CN"/>
        </w:rPr>
      </w:pPr>
      <w:bookmarkStart w:id="4" w:name="_Toc15516"/>
      <w:r>
        <w:rPr>
          <w:rFonts w:hint="eastAsia" w:ascii="楷体" w:hAnsi="楷体" w:eastAsia="楷体" w:cs="楷体"/>
          <w:sz w:val="28"/>
          <w:szCs w:val="18"/>
          <w:lang w:val="en-US" w:eastAsia="zh-CN"/>
        </w:rPr>
        <w:t>业务申请及客户端安装78hi'o流程</w:t>
      </w:r>
      <w:bookmarkEnd w:id="4"/>
    </w:p>
    <w:p>
      <w:pPr>
        <w:pStyle w:val="4"/>
        <w:bidi w:val="0"/>
        <w:outlineLvl w:val="1"/>
        <w:rPr>
          <w:rFonts w:hint="eastAsia" w:ascii="楷体" w:hAnsi="楷体" w:eastAsia="楷体" w:cs="楷体"/>
          <w:i w:val="0"/>
          <w:caps w:val="0"/>
          <w:color w:val="494949"/>
          <w:spacing w:val="0"/>
          <w:kern w:val="2"/>
          <w:sz w:val="22"/>
          <w:szCs w:val="22"/>
          <w:lang w:val="en-US" w:eastAsia="zh-CN" w:bidi="ar-SA"/>
        </w:rPr>
      </w:pPr>
      <w:bookmarkStart w:id="5" w:name="_Toc10652"/>
      <w:r>
        <w:rPr>
          <w:rFonts w:hint="eastAsia" w:ascii="楷体" w:hAnsi="楷体" w:eastAsia="楷体" w:cs="楷体"/>
          <w:sz w:val="24"/>
          <w:szCs w:val="21"/>
          <w:lang w:val="en-US" w:eastAsia="zh-CN"/>
        </w:rPr>
        <w:t>3.1 业务申请流程</w:t>
      </w:r>
      <w:bookmarkEnd w:id="5"/>
    </w:p>
    <w:p>
      <w:pPr>
        <w:pStyle w:val="5"/>
        <w:bidi w:val="0"/>
        <w:rPr>
          <w:rFonts w:hint="eastAsia" w:ascii="楷体" w:hAnsi="楷体" w:eastAsia="楷体" w:cs="楷体"/>
          <w:sz w:val="22"/>
          <w:szCs w:val="21"/>
          <w:lang w:val="en-US" w:eastAsia="zh-CN"/>
        </w:rPr>
      </w:pPr>
      <w:r>
        <w:rPr>
          <w:rFonts w:hint="eastAsia" w:ascii="楷体" w:hAnsi="楷体" w:eastAsia="楷体" w:cs="楷体"/>
          <w:sz w:val="22"/>
          <w:szCs w:val="21"/>
          <w:lang w:val="en-US" w:eastAsia="zh-CN"/>
        </w:rPr>
        <w:t>3.1.1 .新用户申请认证及小站号建立</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1、准备以下材料并加盖公章：营业执照、开户许可证、H系列小站申请表（私募机构版）。</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2、向托管券商提交以上材料电子版。</w:t>
      </w:r>
    </w:p>
    <w:p>
      <w:pPr>
        <w:keepNext w:val="0"/>
        <w:keepLines w:val="0"/>
        <w:widowControl/>
        <w:numPr>
          <w:ilvl w:val="0"/>
          <w:numId w:val="0"/>
        </w:numPr>
        <w:suppressLineNumbers w:val="0"/>
        <w:ind w:leftChars="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3、托管机构方补充双方业务关系对信息（服务商版）并加盖公章，</w:t>
      </w: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"mailto:由托管券商将私募机构的申请材料通过HF小站/邮件发送至深证通网络金融业务部（fdep_support@sscc.com）"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并连同私募机构的申请材料通过fdep平台发送至深证通网络金融业务部</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HF8888小站。</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4、深证通网络金融业务部完成审核后，为私募机构在深证通统一客户专区上（biz.sscc.com）注册用户，开通生产环境小站号，建立与托管券商初始关系对，并通过web平台反馈相关信息给托管券商。</w:t>
      </w:r>
    </w:p>
    <w:p>
      <w:pPr>
        <w:keepNext w:val="0"/>
        <w:keepLines w:val="0"/>
        <w:widowControl/>
        <w:numPr>
          <w:ilvl w:val="0"/>
          <w:numId w:val="0"/>
        </w:numPr>
        <w:suppressLineNumbers w:val="0"/>
        <w:ind w:leftChars="0" w:firstLine="440" w:firstLineChars="20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后续客户端安装详见3.2客户端安装流程，关系对申请操作详见3.1.2。</w:t>
      </w:r>
    </w:p>
    <w:p>
      <w:pPr>
        <w:keepNext w:val="0"/>
        <w:keepLines w:val="0"/>
        <w:widowControl/>
        <w:numPr>
          <w:ilvl w:val="0"/>
          <w:numId w:val="0"/>
        </w:numPr>
        <w:suppressLineNumbers w:val="0"/>
        <w:ind w:leftChars="0"/>
        <w:jc w:val="center"/>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rPr>
          <w:rFonts w:hint="eastAsia" w:ascii="楷体" w:hAnsi="楷体" w:eastAsia="楷体" w:cs="楷体"/>
          <w:b/>
          <w:kern w:val="2"/>
          <w:sz w:val="22"/>
          <w:szCs w:val="21"/>
          <w:lang w:val="en-US" w:eastAsia="zh-CN" w:bidi="ar-SA"/>
        </w:rPr>
      </w:pPr>
      <w:r>
        <w:rPr>
          <w:rFonts w:hint="eastAsia" w:ascii="楷体" w:hAnsi="楷体" w:eastAsia="楷体" w:cs="楷体"/>
          <w:b/>
          <w:kern w:val="2"/>
          <w:sz w:val="22"/>
          <w:szCs w:val="21"/>
          <w:lang w:val="en-US" w:eastAsia="zh-CN" w:bidi="ar-SA"/>
        </w:rPr>
        <w:t>3.1.2 业务关系对上线申请</w:t>
      </w:r>
    </w:p>
    <w:p>
      <w:pPr>
        <w:keepNext w:val="0"/>
        <w:keepLines w:val="0"/>
        <w:widowControl/>
        <w:numPr>
          <w:ilvl w:val="0"/>
          <w:numId w:val="0"/>
        </w:numPr>
        <w:suppressLineNumbers w:val="0"/>
        <w:ind w:leftChars="0"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小站号建立后，后续如需与私募机构/其他服务商建立业务关系对，关系对双方填写申请表（详见：web业务上线申请表）后，由任意一方通过fdep文件传输系统递交申请表至小站号HF8888（深证通网络金融业务部小站号），深证通网络金融业务部受理后将办理结果通过深证通fdep文件传输小站反馈至授权方小站中。</w:t>
      </w:r>
    </w:p>
    <w:p>
      <w:pPr>
        <w:keepNext w:val="0"/>
        <w:keepLines w:val="0"/>
        <w:widowControl/>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outlineLvl w:val="1"/>
        <w:rPr>
          <w:rFonts w:hint="eastAsia" w:ascii="楷体" w:hAnsi="楷体" w:eastAsia="楷体" w:cs="楷体"/>
          <w:b/>
          <w:kern w:val="2"/>
          <w:sz w:val="22"/>
          <w:szCs w:val="21"/>
          <w:lang w:val="en-US" w:eastAsia="zh-CN" w:bidi="ar-SA"/>
        </w:rPr>
      </w:pPr>
      <w:bookmarkStart w:id="6" w:name="_Toc1250"/>
      <w:r>
        <w:rPr>
          <w:rFonts w:hint="eastAsia" w:ascii="楷体" w:hAnsi="楷体" w:eastAsia="楷体" w:cs="楷体"/>
          <w:b/>
          <w:kern w:val="2"/>
          <w:sz w:val="22"/>
          <w:szCs w:val="21"/>
          <w:lang w:val="en-US" w:eastAsia="zh-CN" w:bidi="ar-SA"/>
        </w:rPr>
        <w:t>3.2 客户端安装流程</w:t>
      </w:r>
      <w:bookmarkEnd w:id="6"/>
    </w:p>
    <w:p>
      <w:pPr>
        <w:keepNext w:val="0"/>
        <w:keepLines w:val="0"/>
        <w:widowControl/>
        <w:suppressLineNumbers w:val="0"/>
        <w:ind w:left="0"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私募机构可选择通过文件传输专线版客户端/web接入系统连接fdep平台中枢，实现与业务对端的数据传输。</w:t>
      </w:r>
    </w:p>
    <w:p>
      <w:pPr>
        <w:keepNext w:val="0"/>
        <w:keepLines w:val="0"/>
        <w:widowControl/>
        <w:numPr>
          <w:ilvl w:val="0"/>
          <w:numId w:val="0"/>
        </w:numPr>
        <w:suppressLineNumbers w:val="0"/>
        <w:ind w:leftChars="0"/>
        <w:jc w:val="left"/>
        <w:rPr>
          <w:rFonts w:hint="eastAsia" w:ascii="楷体" w:hAnsi="楷体" w:eastAsia="楷体" w:cs="楷体"/>
          <w:b/>
          <w:kern w:val="2"/>
          <w:sz w:val="22"/>
          <w:szCs w:val="21"/>
          <w:lang w:val="en-US" w:eastAsia="zh-CN" w:bidi="ar-SA"/>
        </w:rPr>
      </w:pPr>
      <w:r>
        <w:rPr>
          <w:rFonts w:hint="eastAsia" w:ascii="楷体" w:hAnsi="楷体" w:eastAsia="楷体" w:cs="楷体"/>
          <w:b/>
          <w:kern w:val="2"/>
          <w:sz w:val="22"/>
          <w:szCs w:val="21"/>
          <w:lang w:val="en-US" w:eastAsia="zh-CN" w:bidi="ar-SA"/>
        </w:rPr>
        <w:t>3.2.1专线版客户端安装调试流程</w:t>
      </w:r>
    </w:p>
    <w:p>
      <w:pPr>
        <w:keepNext w:val="0"/>
        <w:keepLines w:val="0"/>
        <w:widowControl/>
        <w:suppressLineNumbers w:val="0"/>
        <w:ind w:left="0" w:firstLine="42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目前已有专线接入fdep平台的私募机构，可选择安装专线版文件传输客户端并部署H系列小站、实现与业务对端的数据传输。</w:t>
      </w:r>
    </w:p>
    <w:p>
      <w:pPr>
        <w:keepNext w:val="0"/>
        <w:keepLines w:val="0"/>
        <w:widowControl/>
        <w:numPr>
          <w:ilvl w:val="0"/>
          <w:numId w:val="3"/>
        </w:numPr>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在深证通统一客户专区（biz.sscc.com）-业务指引-FDEP业务指引-程序下载-文件传输系统客户端 下载对应版本的客户端。</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rPr>
        <w:drawing>
          <wp:inline distT="0" distB="0" distL="114300" distR="114300">
            <wp:extent cx="5269230" cy="4079240"/>
            <wp:effectExtent l="0" t="0" r="381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230" cy="4079240"/>
                    </a:xfrm>
                    <a:prstGeom prst="rect">
                      <a:avLst/>
                    </a:prstGeom>
                    <a:noFill/>
                    <a:ln>
                      <a:noFill/>
                    </a:ln>
                  </pic:spPr>
                </pic:pic>
              </a:graphicData>
            </a:graphic>
          </wp:inline>
        </w:drawing>
      </w:r>
    </w:p>
    <w:p>
      <w:pPr>
        <w:keepNext w:val="0"/>
        <w:keepLines w:val="0"/>
        <w:widowControl/>
        <w:suppressLineNumbers w:val="0"/>
        <w:ind w:left="0" w:firstLine="0"/>
        <w:jc w:val="center"/>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（统一客户专区程序下载界面）</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3"/>
        </w:numPr>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在深证通统一客户专区（biz.sscc.com）-业务指引-FDEP业务指引-技术手册 下载对应文件传输系统对应技术手册。</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rPr>
        <w:drawing>
          <wp:inline distT="0" distB="0" distL="114300" distR="114300">
            <wp:extent cx="5270500" cy="4362450"/>
            <wp:effectExtent l="0" t="0" r="2540" b="1143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5270500" cy="4362450"/>
                    </a:xfrm>
                    <a:prstGeom prst="rect">
                      <a:avLst/>
                    </a:prstGeom>
                    <a:noFill/>
                    <a:ln>
                      <a:noFill/>
                    </a:ln>
                  </pic:spPr>
                </pic:pic>
              </a:graphicData>
            </a:graphic>
          </wp:inline>
        </w:drawing>
      </w:r>
    </w:p>
    <w:p>
      <w:pPr>
        <w:keepNext w:val="0"/>
        <w:keepLines w:val="0"/>
        <w:widowControl/>
        <w:suppressLineNumbers w:val="0"/>
        <w:ind w:left="0" w:firstLine="0"/>
        <w:jc w:val="center"/>
        <w:rPr>
          <w:rFonts w:hint="eastAsia" w:ascii="楷体" w:hAnsi="楷体" w:eastAsia="楷体" w:cs="楷体"/>
          <w:b/>
          <w:bCs/>
          <w:i w:val="0"/>
          <w:caps w:val="0"/>
          <w:color w:val="494949"/>
          <w:spacing w:val="0"/>
          <w:kern w:val="2"/>
          <w:sz w:val="22"/>
          <w:szCs w:val="22"/>
          <w:lang w:val="en-US" w:eastAsia="zh-CN" w:bidi="ar-SA"/>
        </w:rPr>
      </w:pPr>
      <w:r>
        <w:rPr>
          <w:rFonts w:hint="eastAsia" w:ascii="楷体" w:hAnsi="楷体" w:eastAsia="楷体" w:cs="楷体"/>
          <w:b/>
          <w:bCs/>
          <w:i w:val="0"/>
          <w:caps w:val="0"/>
          <w:color w:val="494949"/>
          <w:spacing w:val="0"/>
          <w:kern w:val="2"/>
          <w:sz w:val="22"/>
          <w:szCs w:val="22"/>
          <w:lang w:val="en-US" w:eastAsia="zh-CN" w:bidi="ar-SA"/>
        </w:rPr>
        <w:t>（统一客户专区技术手册下载界面）</w:t>
      </w:r>
    </w:p>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3"/>
        </w:numPr>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"mailto:安装客户端并登录H系列小站，期间有技术方面问题可咨询fdep技术组（0755-88665860/61/62/63、fdep@sscc.com）"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安装客户端并登录H系列小站，期间有技术方面问题可联系fdep技术组（0755-88665860/61/62/63、fdep@sscc.com）</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w:t>
      </w:r>
    </w:p>
    <w:p>
      <w:pPr>
        <w:keepNext w:val="0"/>
        <w:keepLines w:val="0"/>
        <w:widowControl/>
        <w:numPr>
          <w:ilvl w:val="0"/>
          <w:numId w:val="3"/>
        </w:numPr>
        <w:suppressLineNumbers w:val="0"/>
        <w:ind w:left="0" w:leftChars="0" w:firstLine="0" w:firstLineChars="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通过专线版客户端实现与业务对端的数据传输。</w:t>
      </w:r>
    </w:p>
    <w:p>
      <w:pPr>
        <w:keepNext w:val="0"/>
        <w:keepLines w:val="0"/>
        <w:widowControl/>
        <w:numPr>
          <w:ilvl w:val="0"/>
          <w:numId w:val="0"/>
        </w:numPr>
        <w:suppressLineNumbers w:val="0"/>
        <w:ind w:leftChars="0"/>
        <w:jc w:val="left"/>
        <w:rPr>
          <w:rFonts w:hint="eastAsia" w:ascii="楷体" w:hAnsi="楷体" w:eastAsia="楷体" w:cs="楷体"/>
        </w:rPr>
      </w:pPr>
    </w:p>
    <w:p>
      <w:pPr>
        <w:keepNext w:val="0"/>
        <w:keepLines w:val="0"/>
        <w:widowControl/>
        <w:numPr>
          <w:ilvl w:val="0"/>
          <w:numId w:val="0"/>
        </w:numPr>
        <w:suppressLineNumbers w:val="0"/>
        <w:ind w:leftChars="0"/>
        <w:jc w:val="left"/>
        <w:rPr>
          <w:rFonts w:hint="eastAsia" w:ascii="楷体" w:hAnsi="楷体" w:eastAsia="楷体" w:cs="楷体"/>
          <w:b/>
          <w:kern w:val="2"/>
          <w:sz w:val="22"/>
          <w:szCs w:val="21"/>
          <w:lang w:val="en-US" w:eastAsia="zh-CN" w:bidi="ar-SA"/>
        </w:rPr>
      </w:pPr>
      <w:r>
        <w:rPr>
          <w:rFonts w:hint="eastAsia" w:ascii="楷体" w:hAnsi="楷体" w:eastAsia="楷体" w:cs="楷体"/>
          <w:b/>
          <w:kern w:val="2"/>
          <w:sz w:val="22"/>
          <w:szCs w:val="21"/>
          <w:lang w:val="en-US" w:eastAsia="zh-CN" w:bidi="ar-SA"/>
        </w:rPr>
        <w:t>3.2.2 web网页版接入安装调试流程</w:t>
      </w:r>
    </w:p>
    <w:p>
      <w:pPr>
        <w:keepNext w:val="0"/>
        <w:keepLines w:val="0"/>
        <w:widowControl/>
        <w:suppressLineNumbers w:val="0"/>
        <w:ind w:left="0" w:firstLine="420" w:firstLineChars="0"/>
        <w:jc w:val="left"/>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暂无专线接入fdep平台的私募机构，可申请接入我司为私募机构量身打造的web平台H小站，无需专线接入、技术架构支持，互联网直达FDEP中枢，实现数据传输解决方案的迅速落地，web平台接入方式如下：</w:t>
      </w:r>
    </w:p>
    <w:p>
      <w:pPr>
        <w:keepNext w:val="0"/>
        <w:keepLines w:val="0"/>
        <w:widowControl/>
        <w:numPr>
          <w:ilvl w:val="0"/>
          <w:numId w:val="4"/>
        </w:numPr>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在浏览器地址栏输入ip地址（https://www.fdep.cn），进入fdep互联网接入系统。</w:t>
      </w:r>
    </w:p>
    <w:p>
      <w:pPr>
        <w:keepNext w:val="0"/>
        <w:keepLines w:val="0"/>
        <w:widowControl/>
        <w:numPr>
          <w:ilvl w:val="0"/>
          <w:numId w:val="4"/>
        </w:numPr>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登录互联网接入系统（用户名/密码由深证通提供，并绑定对应H小站号），进入系统主界面，实现与业务对端的数据传输，详细操作详见《FDEP互联网接入手册网页版-用户手册》。</w:t>
      </w:r>
    </w:p>
    <w:p>
      <w:pPr>
        <w:keepNext w:val="0"/>
        <w:keepLines w:val="0"/>
        <w:widowControl/>
        <w:suppressLineNumbers w:val="0"/>
        <w:ind w:left="0" w:firstLine="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1"/>
        </w:numPr>
        <w:suppressLineNumbers w:val="0"/>
        <w:ind w:left="0" w:leftChars="0" w:firstLine="0" w:firstLineChars="0"/>
        <w:jc w:val="left"/>
        <w:outlineLvl w:val="0"/>
        <w:rPr>
          <w:rFonts w:hint="eastAsia" w:ascii="楷体" w:hAnsi="楷体" w:eastAsia="楷体" w:cs="楷体"/>
          <w:b/>
          <w:kern w:val="44"/>
          <w:sz w:val="28"/>
          <w:szCs w:val="18"/>
          <w:lang w:val="en-US" w:eastAsia="zh-CN" w:bidi="ar-SA"/>
        </w:rPr>
      </w:pPr>
      <w:bookmarkStart w:id="7" w:name="_Toc29300"/>
      <w:r>
        <w:rPr>
          <w:rFonts w:hint="eastAsia" w:ascii="楷体" w:hAnsi="楷体" w:eastAsia="楷体" w:cs="楷体"/>
          <w:b/>
          <w:kern w:val="44"/>
          <w:sz w:val="28"/>
          <w:szCs w:val="18"/>
          <w:lang w:val="en-US" w:eastAsia="zh-CN" w:bidi="ar-SA"/>
        </w:rPr>
        <w:t>业务联系方式</w:t>
      </w:r>
      <w:bookmarkEnd w:id="7"/>
    </w:p>
    <w:p>
      <w:pPr>
        <w:keepNext w:val="0"/>
        <w:keepLines w:val="0"/>
        <w:widowControl/>
        <w:numPr>
          <w:ilvl w:val="0"/>
          <w:numId w:val="0"/>
        </w:numPr>
        <w:suppressLineNumbers w:val="0"/>
        <w:ind w:leftChars="0"/>
        <w:jc w:val="left"/>
        <w:outlineLvl w:val="1"/>
        <w:rPr>
          <w:rFonts w:hint="eastAsia" w:ascii="楷体" w:hAnsi="楷体" w:eastAsia="楷体" w:cs="楷体"/>
          <w:b/>
          <w:kern w:val="2"/>
          <w:sz w:val="22"/>
          <w:szCs w:val="21"/>
          <w:lang w:val="en-US" w:eastAsia="zh-CN" w:bidi="ar-SA"/>
        </w:rPr>
      </w:pPr>
      <w:bookmarkStart w:id="8" w:name="_Toc14590"/>
      <w:r>
        <w:rPr>
          <w:rFonts w:hint="eastAsia" w:ascii="楷体" w:hAnsi="楷体" w:eastAsia="楷体" w:cs="楷体"/>
          <w:b/>
          <w:kern w:val="2"/>
          <w:sz w:val="22"/>
          <w:szCs w:val="21"/>
          <w:lang w:val="en-US" w:eastAsia="zh-CN" w:bidi="ar-SA"/>
        </w:rPr>
        <w:t>4.1 fdep平台联系方式</w:t>
      </w:r>
      <w:bookmarkEnd w:id="8"/>
    </w:p>
    <w:p>
      <w:pPr>
        <w:keepNext w:val="0"/>
        <w:keepLines w:val="0"/>
        <w:widowControl/>
        <w:suppressLineNumbers w:val="0"/>
        <w:ind w:left="0" w:firstLine="440" w:firstLineChars="200"/>
        <w:jc w:val="left"/>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如有更多业务/技术问题，请联系fdep业务/技术部门：</w:t>
      </w:r>
      <w:bookmarkStart w:id="10" w:name="_GoBack"/>
      <w:bookmarkEnd w:id="10"/>
    </w:p>
    <w:tbl>
      <w:tblPr>
        <w:tblStyle w:val="10"/>
        <w:tblW w:w="8330" w:type="dxa"/>
        <w:tblInd w:w="0" w:type="dxa"/>
        <w:shd w:val="clear" w:color="auto" w:fill="auto"/>
        <w:tblLayout w:type="fixed"/>
        <w:tblCellMar>
          <w:top w:w="0" w:type="dxa"/>
          <w:left w:w="0" w:type="dxa"/>
          <w:bottom w:w="0" w:type="dxa"/>
          <w:right w:w="0" w:type="dxa"/>
        </w:tblCellMar>
      </w:tblPr>
      <w:tblGrid>
        <w:gridCol w:w="2300"/>
        <w:gridCol w:w="1859"/>
        <w:gridCol w:w="2250"/>
        <w:gridCol w:w="1921"/>
      </w:tblGrid>
      <w:tr>
        <w:tblPrEx>
          <w:shd w:val="clear" w:color="auto" w:fill="auto"/>
          <w:tblCellMar>
            <w:top w:w="0" w:type="dxa"/>
            <w:left w:w="0" w:type="dxa"/>
            <w:bottom w:w="0" w:type="dxa"/>
            <w:right w:w="0" w:type="dxa"/>
          </w:tblCellMar>
        </w:tblPrEx>
        <w:trPr>
          <w:trHeight w:val="330" w:hRule="atLeast"/>
        </w:trPr>
        <w:tc>
          <w:tcPr>
            <w:tcW w:w="2300"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区域</w:t>
            </w:r>
          </w:p>
        </w:tc>
        <w:tc>
          <w:tcPr>
            <w:tcW w:w="1859"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客户经理</w:t>
            </w:r>
          </w:p>
        </w:tc>
        <w:tc>
          <w:tcPr>
            <w:tcW w:w="2250"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联系方式</w:t>
            </w:r>
          </w:p>
        </w:tc>
        <w:tc>
          <w:tcPr>
            <w:tcW w:w="1921" w:type="dxa"/>
            <w:tcBorders>
              <w:top w:val="single" w:color="5B9BD5" w:sz="4" w:space="0"/>
              <w:left w:val="single" w:color="5B9BD5" w:sz="4" w:space="0"/>
              <w:bottom w:val="single" w:color="5B9BD5" w:sz="4" w:space="0"/>
              <w:right w:val="single" w:color="5B9BD5" w:sz="4" w:space="0"/>
            </w:tcBorders>
            <w:shd w:val="clear" w:color="auto" w:fill="5B9BD5"/>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邮箱</w:t>
            </w:r>
          </w:p>
        </w:tc>
      </w:tr>
      <w:tr>
        <w:tblPrEx>
          <w:shd w:val="clear" w:color="auto" w:fill="auto"/>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上海、江苏、福建、</w:t>
            </w:r>
          </w:p>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安徽、浙江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张经理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5</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zhangrc@sscc.com</w:t>
            </w:r>
          </w:p>
        </w:tc>
      </w:tr>
      <w:tr>
        <w:tblPrEx>
          <w:shd w:val="clear" w:color="auto" w:fill="auto"/>
          <w:tblCellMar>
            <w:top w:w="0" w:type="dxa"/>
            <w:left w:w="0" w:type="dxa"/>
            <w:bottom w:w="0" w:type="dxa"/>
            <w:right w:w="0" w:type="dxa"/>
          </w:tblCellMar>
        </w:tblPrEx>
        <w:trPr>
          <w:trHeight w:val="330" w:hRule="atLeast"/>
        </w:trPr>
        <w:tc>
          <w:tcPr>
            <w:tcW w:w="2300" w:type="dxa"/>
            <w:vMerge w:val="continue"/>
            <w:tcBorders>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徐经理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0755-886657</w:t>
            </w:r>
            <w:r>
              <w:rPr>
                <w:rFonts w:hint="eastAsia" w:ascii="楷体" w:hAnsi="楷体" w:eastAsia="楷体" w:cs="楷体"/>
                <w:i w:val="0"/>
                <w:caps w:val="0"/>
                <w:color w:val="494949"/>
                <w:spacing w:val="0"/>
                <w:kern w:val="2"/>
                <w:sz w:val="22"/>
                <w:szCs w:val="22"/>
                <w:lang w:val="en-US" w:eastAsia="zh-CN" w:bidi="ar-SA"/>
              </w:rPr>
              <w:fldChar w:fldCharType="end"/>
            </w:r>
            <w:r>
              <w:rPr>
                <w:rFonts w:hint="eastAsia" w:ascii="楷体" w:hAnsi="楷体" w:eastAsia="楷体" w:cs="楷体"/>
                <w:i w:val="0"/>
                <w:caps w:val="0"/>
                <w:color w:val="494949"/>
                <w:spacing w:val="0"/>
                <w:kern w:val="2"/>
                <w:sz w:val="22"/>
                <w:szCs w:val="22"/>
                <w:lang w:val="en-US" w:eastAsia="zh-CN" w:bidi="ar-SA"/>
              </w:rPr>
              <w:t>02</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xubo@sscc.com</w:t>
            </w:r>
          </w:p>
        </w:tc>
      </w:tr>
      <w:tr>
        <w:tblPrEx>
          <w:shd w:val="clear" w:color="auto" w:fill="auto"/>
          <w:tblCellMar>
            <w:top w:w="0" w:type="dxa"/>
            <w:left w:w="0" w:type="dxa"/>
            <w:bottom w:w="0" w:type="dxa"/>
            <w:right w:w="0" w:type="dxa"/>
          </w:tblCellMar>
        </w:tblPrEx>
        <w:trPr>
          <w:trHeight w:val="330" w:hRule="atLeast"/>
        </w:trPr>
        <w:tc>
          <w:tcPr>
            <w:tcW w:w="2300" w:type="dxa"/>
            <w:vMerge w:val="continue"/>
            <w:tcBorders>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广东、江西、海南</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邱经理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0755-88665971</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qiufang@sscc.com</w:t>
            </w:r>
          </w:p>
        </w:tc>
      </w:tr>
      <w:tr>
        <w:tblPrEx>
          <w:shd w:val="clear" w:color="auto" w:fill="auto"/>
          <w:tblCellMar>
            <w:top w:w="0" w:type="dxa"/>
            <w:left w:w="0" w:type="dxa"/>
            <w:bottom w:w="0" w:type="dxa"/>
            <w:right w:w="0" w:type="dxa"/>
          </w:tblCellMar>
        </w:tblPrEx>
        <w:trPr>
          <w:trHeight w:val="330" w:hRule="atLeast"/>
        </w:trPr>
        <w:tc>
          <w:tcPr>
            <w:tcW w:w="2300" w:type="dxa"/>
            <w:vMerge w:val="continue"/>
            <w:tcBorders>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default"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tblCellMar>
            <w:top w:w="0" w:type="dxa"/>
            <w:left w:w="0" w:type="dxa"/>
            <w:bottom w:w="0" w:type="dxa"/>
            <w:right w:w="0" w:type="dxa"/>
          </w:tblCellMar>
        </w:tblPrEx>
        <w:trPr>
          <w:trHeight w:val="330" w:hRule="atLeast"/>
        </w:trPr>
        <w:tc>
          <w:tcPr>
            <w:tcW w:w="2300" w:type="dxa"/>
            <w:vMerge w:val="restart"/>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华北及山东等其他区域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冯经理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0755-88665974</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fengzy@sscc.com</w:t>
            </w:r>
          </w:p>
        </w:tc>
      </w:tr>
      <w:tr>
        <w:tblPrEx>
          <w:shd w:val="clear" w:color="auto" w:fill="auto"/>
          <w:tblCellMar>
            <w:top w:w="0" w:type="dxa"/>
            <w:left w:w="0" w:type="dxa"/>
            <w:bottom w:w="0" w:type="dxa"/>
            <w:right w:w="0" w:type="dxa"/>
          </w:tblCellMar>
        </w:tblPrEx>
        <w:trPr>
          <w:trHeight w:val="339" w:hRule="atLeast"/>
        </w:trPr>
        <w:tc>
          <w:tcPr>
            <w:tcW w:w="2300" w:type="dxa"/>
            <w:vMerge w:val="continue"/>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陈经理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fldChar w:fldCharType="begin"/>
            </w:r>
            <w:r>
              <w:rPr>
                <w:rFonts w:hint="eastAsia" w:ascii="楷体" w:hAnsi="楷体" w:eastAsia="楷体" w:cs="楷体"/>
                <w:i w:val="0"/>
                <w:caps w:val="0"/>
                <w:color w:val="494949"/>
                <w:spacing w:val="0"/>
                <w:kern w:val="2"/>
                <w:sz w:val="22"/>
                <w:szCs w:val="22"/>
                <w:lang w:val="en-US" w:eastAsia="zh-CN" w:bidi="ar-SA"/>
              </w:rPr>
              <w:instrText xml:space="preserve"> HYPERLINK "mailto:0755-88665974/fengzy@sscc.com" </w:instrText>
            </w:r>
            <w:r>
              <w:rPr>
                <w:rFonts w:hint="eastAsia" w:ascii="楷体" w:hAnsi="楷体" w:eastAsia="楷体" w:cs="楷体"/>
                <w:i w:val="0"/>
                <w:caps w:val="0"/>
                <w:color w:val="494949"/>
                <w:spacing w:val="0"/>
                <w:kern w:val="2"/>
                <w:sz w:val="22"/>
                <w:szCs w:val="22"/>
                <w:lang w:val="en-US" w:eastAsia="zh-CN" w:bidi="ar-SA"/>
              </w:rPr>
              <w:fldChar w:fldCharType="separate"/>
            </w:r>
            <w:r>
              <w:rPr>
                <w:rFonts w:hint="eastAsia" w:ascii="楷体" w:hAnsi="楷体" w:eastAsia="楷体" w:cs="楷体"/>
                <w:i w:val="0"/>
                <w:caps w:val="0"/>
                <w:color w:val="494949"/>
                <w:spacing w:val="0"/>
                <w:kern w:val="2"/>
                <w:sz w:val="22"/>
                <w:szCs w:val="22"/>
                <w:lang w:val="en-US" w:eastAsia="zh-CN" w:bidi="ar-SA"/>
              </w:rPr>
              <w:t>0755-88665970</w:t>
            </w:r>
            <w:r>
              <w:rPr>
                <w:rFonts w:hint="eastAsia" w:ascii="楷体" w:hAnsi="楷体" w:eastAsia="楷体" w:cs="楷体"/>
                <w:i w:val="0"/>
                <w:caps w:val="0"/>
                <w:color w:val="494949"/>
                <w:spacing w:val="0"/>
                <w:kern w:val="2"/>
                <w:sz w:val="22"/>
                <w:szCs w:val="22"/>
                <w:lang w:val="en-US" w:eastAsia="zh-CN" w:bidi="ar-SA"/>
              </w:rPr>
              <w:fldChar w:fldCharType="end"/>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chenhj@sscc.com</w:t>
            </w:r>
          </w:p>
        </w:tc>
      </w:tr>
      <w:tr>
        <w:tblPrEx>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西北、西南、湖北、</w:t>
            </w:r>
          </w:p>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河南区域</w:t>
            </w:r>
          </w:p>
        </w:tc>
        <w:tc>
          <w:tcPr>
            <w:tcW w:w="1859"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杨经理</w:t>
            </w:r>
          </w:p>
        </w:tc>
        <w:tc>
          <w:tcPr>
            <w:tcW w:w="225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0755-88665978</w:t>
            </w:r>
          </w:p>
        </w:tc>
        <w:tc>
          <w:tcPr>
            <w:tcW w:w="1921"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yangzhao@sscc.com</w:t>
            </w:r>
          </w:p>
        </w:tc>
      </w:tr>
      <w:tr>
        <w:tblPrEx>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业务咨询</w:t>
            </w:r>
          </w:p>
        </w:tc>
        <w:tc>
          <w:tcPr>
            <w:tcW w:w="6030" w:type="dxa"/>
            <w:gridSpan w:val="3"/>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0755-88665977 /fdep_support@sscc.com</w:t>
            </w:r>
          </w:p>
        </w:tc>
      </w:tr>
      <w:tr>
        <w:tblPrEx>
          <w:tblCellMar>
            <w:top w:w="0" w:type="dxa"/>
            <w:left w:w="0" w:type="dxa"/>
            <w:bottom w:w="0" w:type="dxa"/>
            <w:right w:w="0" w:type="dxa"/>
          </w:tblCellMar>
        </w:tblPrEx>
        <w:trPr>
          <w:trHeight w:val="339" w:hRule="atLeast"/>
        </w:trPr>
        <w:tc>
          <w:tcPr>
            <w:tcW w:w="2300" w:type="dxa"/>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技术咨询</w:t>
            </w:r>
          </w:p>
        </w:tc>
        <w:tc>
          <w:tcPr>
            <w:tcW w:w="6030" w:type="dxa"/>
            <w:gridSpan w:val="3"/>
            <w:tcBorders>
              <w:top w:val="single" w:color="5B9BD5" w:sz="4" w:space="0"/>
              <w:left w:val="single" w:color="5B9BD5" w:sz="4" w:space="0"/>
              <w:bottom w:val="single" w:color="5B9BD5" w:sz="4" w:space="0"/>
              <w:right w:val="single" w:color="5B9BD5" w:sz="4" w:space="0"/>
            </w:tcBorders>
            <w:shd w:val="clear" w:color="auto" w:fill="auto"/>
            <w:noWrap/>
            <w:tcMar>
              <w:top w:w="12" w:type="dxa"/>
              <w:left w:w="12" w:type="dxa"/>
              <w:right w:w="12" w:type="dxa"/>
            </w:tcMar>
            <w:vAlign w:val="center"/>
          </w:tcPr>
          <w:p>
            <w:pPr>
              <w:keepNext w:val="0"/>
              <w:keepLines w:val="0"/>
              <w:widowControl/>
              <w:suppressLineNumbers w:val="0"/>
              <w:spacing w:line="20" w:lineRule="atLeast"/>
              <w:jc w:val="center"/>
              <w:textAlignment w:val="center"/>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0755-88665860/61/62/64 /fdep@sscc.com</w:t>
            </w:r>
          </w:p>
        </w:tc>
      </w:tr>
    </w:tbl>
    <w:p>
      <w:pPr>
        <w:keepNext w:val="0"/>
        <w:keepLines w:val="0"/>
        <w:widowControl/>
        <w:numPr>
          <w:ilvl w:val="0"/>
          <w:numId w:val="0"/>
        </w:numPr>
        <w:suppressLineNumbers w:val="0"/>
        <w:ind w:leftChars="0"/>
        <w:jc w:val="left"/>
        <w:rPr>
          <w:rFonts w:hint="eastAsia" w:ascii="楷体" w:hAnsi="楷体" w:eastAsia="楷体" w:cs="楷体"/>
          <w:i w:val="0"/>
          <w:caps w:val="0"/>
          <w:color w:val="494949"/>
          <w:spacing w:val="0"/>
          <w:kern w:val="2"/>
          <w:sz w:val="22"/>
          <w:szCs w:val="22"/>
          <w:lang w:val="en-US" w:eastAsia="zh-CN" w:bidi="ar-SA"/>
        </w:rPr>
      </w:pPr>
    </w:p>
    <w:p>
      <w:pPr>
        <w:keepNext w:val="0"/>
        <w:keepLines w:val="0"/>
        <w:widowControl/>
        <w:numPr>
          <w:ilvl w:val="0"/>
          <w:numId w:val="0"/>
        </w:numPr>
        <w:suppressLineNumbers w:val="0"/>
        <w:ind w:leftChars="0"/>
        <w:jc w:val="left"/>
        <w:outlineLvl w:val="1"/>
        <w:rPr>
          <w:rFonts w:hint="eastAsia" w:ascii="楷体" w:hAnsi="楷体" w:eastAsia="楷体" w:cs="楷体"/>
          <w:b/>
          <w:kern w:val="2"/>
          <w:sz w:val="22"/>
          <w:szCs w:val="21"/>
          <w:lang w:val="en-US" w:eastAsia="zh-CN" w:bidi="ar-SA"/>
        </w:rPr>
      </w:pPr>
      <w:bookmarkStart w:id="9" w:name="_Toc20298"/>
      <w:r>
        <w:rPr>
          <w:rFonts w:hint="eastAsia" w:ascii="楷体" w:hAnsi="楷体" w:eastAsia="楷体" w:cs="楷体"/>
          <w:b/>
          <w:kern w:val="2"/>
          <w:sz w:val="22"/>
          <w:szCs w:val="21"/>
          <w:lang w:val="en-US" w:eastAsia="zh-CN" w:bidi="ar-SA"/>
        </w:rPr>
        <w:t>4.2 Web客户端</w:t>
      </w:r>
      <w:bookmarkEnd w:id="9"/>
      <w:r>
        <w:rPr>
          <w:rFonts w:hint="eastAsia" w:ascii="楷体" w:hAnsi="楷体" w:eastAsia="楷体" w:cs="楷体"/>
          <w:b/>
          <w:kern w:val="2"/>
          <w:sz w:val="22"/>
          <w:szCs w:val="21"/>
          <w:lang w:val="en-US" w:eastAsia="zh-CN" w:bidi="ar-SA"/>
        </w:rPr>
        <w:t xml:space="preserve"> </w:t>
      </w:r>
    </w:p>
    <w:p>
      <w:pPr>
        <w:ind w:firstLine="420" w:firstLineChars="0"/>
        <w:rPr>
          <w:rFonts w:hint="eastAsia" w:ascii="楷体" w:hAnsi="楷体" w:eastAsia="楷体" w:cs="楷体"/>
          <w:i w:val="0"/>
          <w:caps w:val="0"/>
          <w:color w:val="494949"/>
          <w:spacing w:val="0"/>
          <w:kern w:val="2"/>
          <w:sz w:val="22"/>
          <w:szCs w:val="22"/>
          <w:lang w:val="en-US" w:eastAsia="zh-CN" w:bidi="ar-SA"/>
        </w:rPr>
      </w:pPr>
      <w:r>
        <w:rPr>
          <w:rFonts w:hint="eastAsia" w:ascii="楷体" w:hAnsi="楷体" w:eastAsia="楷体" w:cs="楷体"/>
          <w:i w:val="0"/>
          <w:caps w:val="0"/>
          <w:color w:val="494949"/>
          <w:spacing w:val="0"/>
          <w:kern w:val="2"/>
          <w:sz w:val="22"/>
          <w:szCs w:val="22"/>
          <w:lang w:val="en-US" w:eastAsia="zh-CN" w:bidi="ar-SA"/>
        </w:rPr>
        <w:t>请联系敏客科技：曹自力 13590311150 获取web客户端及相关使用手册.</w:t>
      </w:r>
    </w:p>
    <w:p>
      <w:pPr>
        <w:rPr>
          <w:rFonts w:hint="default" w:ascii="楷体" w:hAnsi="楷体" w:eastAsia="楷体" w:cs="楷体"/>
          <w:i w:val="0"/>
          <w:caps w:val="0"/>
          <w:color w:val="494949"/>
          <w:spacing w:val="0"/>
          <w:kern w:val="2"/>
          <w:sz w:val="22"/>
          <w:szCs w:val="22"/>
          <w:lang w:val="en-US" w:eastAsia="zh-CN" w:bidi="ar-SA"/>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2FFDF8"/>
    <w:multiLevelType w:val="singleLevel"/>
    <w:tmpl w:val="AF2FFDF8"/>
    <w:lvl w:ilvl="0" w:tentative="0">
      <w:start w:val="1"/>
      <w:numFmt w:val="decimal"/>
      <w:suff w:val="nothing"/>
      <w:lvlText w:val="%1、"/>
      <w:lvlJc w:val="left"/>
    </w:lvl>
  </w:abstractNum>
  <w:abstractNum w:abstractNumId="1">
    <w:nsid w:val="B2442F5F"/>
    <w:multiLevelType w:val="singleLevel"/>
    <w:tmpl w:val="B2442F5F"/>
    <w:lvl w:ilvl="0" w:tentative="0">
      <w:start w:val="1"/>
      <w:numFmt w:val="decimal"/>
      <w:suff w:val="nothing"/>
      <w:lvlText w:val="%1、"/>
      <w:lvlJc w:val="left"/>
    </w:lvl>
  </w:abstractNum>
  <w:abstractNum w:abstractNumId="2">
    <w:nsid w:val="0B71E368"/>
    <w:multiLevelType w:val="singleLevel"/>
    <w:tmpl w:val="0B71E368"/>
    <w:lvl w:ilvl="0" w:tentative="0">
      <w:start w:val="1"/>
      <w:numFmt w:val="decimal"/>
      <w:suff w:val="nothing"/>
      <w:lvlText w:val="%1、"/>
      <w:lvlJc w:val="left"/>
    </w:lvl>
  </w:abstractNum>
  <w:abstractNum w:abstractNumId="3">
    <w:nsid w:val="5DDE263C"/>
    <w:multiLevelType w:val="singleLevel"/>
    <w:tmpl w:val="5DDE263C"/>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15290"/>
    <w:rsid w:val="021D32CA"/>
    <w:rsid w:val="0A750296"/>
    <w:rsid w:val="35E15290"/>
    <w:rsid w:val="38D172F9"/>
    <w:rsid w:val="3D014A7E"/>
    <w:rsid w:val="43B876B4"/>
    <w:rsid w:val="4D141BBA"/>
    <w:rsid w:val="58EC04A2"/>
    <w:rsid w:val="6A7A7AD5"/>
    <w:rsid w:val="764F1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6">
    <w:name w:val="annotation text"/>
    <w:basedOn w:val="1"/>
    <w:qFormat/>
    <w:uiPriority w:val="0"/>
    <w:pPr>
      <w:jc w:val="left"/>
    </w:p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styleId="9">
    <w:name w:val="Title"/>
    <w:basedOn w:val="1"/>
    <w:next w:val="1"/>
    <w:qFormat/>
    <w:uiPriority w:val="10"/>
    <w:pPr>
      <w:spacing w:before="240" w:after="60"/>
      <w:jc w:val="center"/>
      <w:outlineLvl w:val="0"/>
    </w:pPr>
    <w:rPr>
      <w:rFonts w:asciiTheme="majorHAnsi" w:hAnsiTheme="majorHAnsi" w:eastAsiaTheme="majorEastAsia" w:cstheme="majorBidi"/>
      <w:b/>
      <w:bCs/>
      <w:sz w:val="32"/>
      <w:szCs w:val="32"/>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qFormat/>
    <w:uiPriority w:val="0"/>
    <w:rPr>
      <w:color w:val="0000FF"/>
      <w:u w:val="single"/>
    </w:rPr>
  </w:style>
  <w:style w:type="paragraph" w:customStyle="1" w:styleId="14">
    <w:name w:val="列出段落1"/>
    <w:basedOn w:val="1"/>
    <w:qFormat/>
    <w:uiPriority w:val="99"/>
    <w:pPr>
      <w:ind w:firstLine="420" w:firstLineChars="200"/>
    </w:pPr>
  </w:style>
  <w:style w:type="paragraph" w:customStyle="1" w:styleId="15">
    <w:name w:val="List Paragraph"/>
    <w:basedOn w:val="1"/>
    <w:qFormat/>
    <w:uiPriority w:val="34"/>
    <w:pPr>
      <w:ind w:firstLine="420" w:firstLineChars="200"/>
    </w:pPr>
  </w:style>
  <w:style w:type="paragraph" w:customStyle="1" w:styleId="16">
    <w:name w:val="WPSOffice手动目录 1"/>
    <w:qFormat/>
    <w:uiPriority w:val="0"/>
    <w:pPr>
      <w:ind w:leftChars="0"/>
    </w:pPr>
    <w:rPr>
      <w:rFonts w:asciiTheme="minorHAnsi" w:hAnsiTheme="minorHAnsi" w:eastAsiaTheme="minorEastAsia" w:cstheme="minorBidi"/>
      <w:sz w:val="20"/>
      <w:szCs w:val="20"/>
    </w:rPr>
  </w:style>
  <w:style w:type="paragraph" w:customStyle="1" w:styleId="17">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2020-03-03T13:37:00Z</dcterms:created>
  <dc:creator>王翊宁逢赌必赢</dc:creator>
  <cp:lastModifiedBy>ZhouYi</cp:lastModifiedBy>
  <dcterms:modified xsi:type="dcterms:W3CDTF">2021-09-10T08:09:11Z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