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【操作手册】下单数与验收数差异提醒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0" w:id="0"/>
      <w:r>
        <w:rPr>
          <w:rFonts w:eastAsia="等线" w:ascii="Arial" w:cs="Arial" w:hAnsi="Arial"/>
          <w:b w:val="true"/>
          <w:sz w:val="32"/>
        </w:rPr>
        <w:t>功能场景：</w:t>
      </w:r>
      <w:bookmarkEnd w:id="0"/>
    </w:p>
    <w:p>
      <w:p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当订单下单数与验收数存在差异时，可能需要对差异进行补单或售后处理。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操作指南</w:t>
      </w:r>
      <w:bookmarkEnd w:id="1"/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" w:id="2"/>
      <w:r>
        <w:rPr>
          <w:rFonts w:eastAsia="等线" w:ascii="Arial" w:cs="Arial" w:hAnsi="Arial"/>
          <w:b w:val="true"/>
          <w:sz w:val="30"/>
        </w:rPr>
        <w:t>下单数与验收数差异提醒</w:t>
      </w:r>
      <w:bookmarkEnd w:id="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1、在设置-&gt;订单设置页面，打开订单验收数与下单数差异提醒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2895600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2、当订单验收后，下单数与验收数存在差异时，订单列表页会展示差异提醒图标（如图1）；订单详情页会在商品明细行展示差异提醒图标（如图2）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914400"/>
            <wp:docPr id="1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center"/>
      </w:pPr>
      <w:r>
        <w:rPr>
          <w:rFonts w:eastAsia="等线" w:ascii="Arial" w:cs="Arial" w:hAnsi="Arial"/>
          <w:color w:val="8f959e"/>
          <w:sz w:val="22"/>
        </w:rPr>
        <w:t>图1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524000"/>
            <wp:docPr id="2" name="Drawing 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center"/>
      </w:pPr>
      <w:r>
        <w:rPr>
          <w:rFonts w:eastAsia="等线" w:ascii="Arial" w:cs="Arial" w:hAnsi="Arial"/>
          <w:color w:val="8f959e"/>
          <w:sz w:val="22"/>
        </w:rPr>
        <w:t>图2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7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2024-01-29T06:47:46Z</dcterms:created>
  <dc:creator>Apache POI</dc:creator>
</cp:coreProperties>
</file>